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6B_863/2020 vom 22. Oktober 2020</w:t>
      </w:r>
    </w:p>
    <w:p>
      <w:r>
        <w:t>Bundesgericht, 2020-10-22, DE</w:t>
      </w:r>
    </w:p>
    <w:p>
      <w:r>
        <w:rPr>
          <w:b/>
        </w:rPr>
        <w:t xml:space="preserve">Quelle: </w:t>
      </w:r>
      <w:r>
        <w:t>https://mcp.opencaselaw.ch/entscheid/bger_6B_863_2020</w:t>
      </w:r>
    </w:p>
    <w:p>
      <w:r>
        <w:t>FR: TF 6B_863/2020 du 22 octobre 2020</w:t>
      </w:r>
    </w:p>
    <w:p>
      <w:r>
        <w:t>IT: TF 6B_863/2020 del 22 ottobre 2020</w:t>
      </w:r>
    </w:p>
    <w:p>
      <w:pPr>
        <w:pStyle w:val="Heading2"/>
      </w:pPr>
      <w:r>
        <w:t>Erwägungen</w:t>
      </w:r>
    </w:p>
    <w:p>
      <w:r>
        <w:rPr>
          <w:b/>
        </w:rPr>
        <w:t>E. 1</w:t>
      </w:r>
    </w:p>
    <w:p>
      <w:r>
        <w:t>Der Beschwerdeführer erstattete am 6. Juni und 24. Dezember 2019 im Zusammenhang mit der Tätigkeit des Verbands B.________ Strafanzeige gegen Unbekannt u.a. wegen ungetreuer Geschäftsbesorgung, Drohung, Nötigung und Erpressung. Die Staatsanwaltschaft nahm das Strafverfahren mit Verfügung vom 7. Januar 2020 nicht an die Hand. Die vom Beschwerdeführer dagegen erhobene Beschwerde wies das Appellationsgericht des Kantons Basel-Stadt am 30. April 2020 ab, soweit es darauf eintrat.</w:t>
      </w:r>
    </w:p>
    <w:p>
      <w:r>
        <w:t>Der Beschwerdeführer gelangt gegen den Entscheid vom 30. April 2020 mit Beschwerde an das Bundesgericht.</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zeigt nicht auf, inwiefern ihm aufgrund der angezeigten Sachverhalte Schadenersatz- oder Genugtuungsansprüche im Sinne von Art. 41 ff. OR zustehen könnten. Genugtuungsforderungen aus Persönlichkeitsverletzung bestehen nur, sofern die Schwere der Verletzung es rechtfertigt (vgl. Art. 49 Abs. 1 OR ). Der Eingriff muss aussergewöhnlich schwer sein und in seinen Auswirkungen das Mass einer Aufregung oder einer alltäglichen Sorge klar übersteigen (vgl. etwa Urteile 6B_96/2019 vom 7. Juni 2019 E. 1.2; 6B_798/2018 vom 14. November 2018 E. 4; 6B_555/2017 vom 29. September 2017 E. 3.2; je mit Hinweisen). Dies ist vorliegend weder dargetan noch ersichtlich.</w:t>
      </w:r>
    </w:p>
    <w:p>
      <w:r>
        <w:t>Dies gilt insbesondere auch, soweit der Beschwerdeführer rügt, er sei durch den Erlass eines ungerechtfertigten Hausverbots als statutarisch gewähltes Vorstandsmitglied des Verbands B.________ zu Unrecht von den Vorstandssitzungen ausgeschlossen worden. Dass damit ein Schadenersatz- oder Genugtuungsanspruch einhergehen könnte, behauptet der Beschwerdeführer nicht.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S. 79; 141 IV 1 E. 1.1 S. 5 mit Hinweisen).</w:t>
      </w:r>
    </w:p>
    <w:p>
      <w:r>
        <w:rPr>
          <w:b/>
        </w:rPr>
        <w:t>E. 5</w:t>
      </w:r>
    </w:p>
    <w:p>
      <w:r>
        <w:t>In formeller Hinsicht rügt der Beschwerdeführer, nicht nachvollziehbar sei, weshalb im angefochtenen Entscheid als Gegenpartei der Schweizerische Verband B.________ als Dachverband, vertreten durch den Verband B.________, aufgeführt werde. Eine Vertretungsvollmacht des Schweizerischen Verbands B.________ zugunsten des Verbands B.________ liege nicht vor. Den im angefochtenen Entscheid aufgeführten "Schweizerischen Verband B.________" gebe es zudem nicht (Beschwerde S. 2 f.).</w:t>
      </w:r>
    </w:p>
    <w:p>
      <w:r>
        <w:t>Darauf ist nicht einzutreten, da nicht ersichtlich ist, inwiefern die falsche Parteibezeichnung einen Einfluss auf die Gültigkeit der Nichtanhandnahme des Strafverfahrens oder des angefochtenen Entscheids haben könnte. Dies gilt umso mehr, als sich die Strafanzeigen des Beschwerdeführers weder gegen den Schweizerischen Verband B.________ noch gegen den Verband B.________, sondern gegen Unbekannt bzw. gegen Vorstandsmitglieder des Verbands B.________ richteten.</w:t>
      </w:r>
    </w:p>
    <w:p>
      <w:r>
        <w:rPr>
          <w:b/>
        </w:rPr>
        <w:t>E. 6</w:t>
      </w:r>
    </w:p>
    <w:p>
      <w:r>
        <w:t>Der Beschwerdeführer beanstandet zudem, der am vorinstanzlichen Entscheid beteiligten Einzelrichterin fehle es an der erforderlichen Unabhängigkeit, da sie Dank der FDP Basel, ihrer politischen Partei, in ihr Richteramt gewählt worden sei (Beschwerde S. 5).</w:t>
      </w:r>
    </w:p>
    <w:p>
      <w:r>
        <w:t>Damit vermag der Beschwerdeführer offensichtlich keinen Ausstandsgrund im Sinne von Art. 56 StPO zu begründen. Der Beschwerdeführer zeigt auch nicht ansatzweise auf, weshalb angesichts der Parteizugehörigkeit der vorinstanzlichen Richterin sein in der EMRK verankerter Anspruch auf einen unabhängigen Richter verletzt sein könnte.</w:t>
      </w:r>
    </w:p>
    <w:p>
      <w:r>
        <w:rPr>
          <w:b/>
        </w:rPr>
        <w:t>E. 7</w:t>
      </w:r>
    </w:p>
    <w:p>
      <w:r>
        <w:t>Auf die Beschwerde ist im Verfahren nach Art. 108 BGG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