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6B_861/2025 vom 27. November 2025</w:t>
      </w:r>
    </w:p>
    <w:p>
      <w:r>
        <w:t>Bundesgericht, 2025-11-27, DE</w:t>
      </w:r>
    </w:p>
    <w:p>
      <w:r>
        <w:rPr>
          <w:b/>
        </w:rPr>
        <w:t xml:space="preserve">Quelle: </w:t>
      </w:r>
      <w:r>
        <w:t>https://mcp.opencaselaw.ch/entscheid/bger_6B_861_2025</w:t>
      </w:r>
    </w:p>
    <w:p>
      <w:r>
        <w:t>FR: TF 6B_861/2025 du 27 novembre 2025</w:t>
      </w:r>
    </w:p>
    <w:p>
      <w:r>
        <w:t>IT: TF 6B_861/2025 del 27 novembre 2025</w:t>
      </w:r>
    </w:p>
    <w:p>
      <w:pPr>
        <w:pStyle w:val="Heading2"/>
      </w:pPr>
      <w:r>
        <w:t>Erwägungen</w:t>
      </w:r>
    </w:p>
    <w:p>
      <w:r>
        <w:rPr>
          <w:b/>
        </w:rPr>
        <w:t>E. 1</w:t>
      </w:r>
    </w:p>
    <w:p>
      <w:r>
        <w:t>Das Obergericht des Kantons Bern stellte am 10. Januar 2025 berichtigungsweise fest, das Regionalgericht Oberland habe den Beschwerdeführer betreffend die Anschuldigungen gemäss Anklageschrift Ziff. I.1.2.2 Lemma 1 Sachverhaltsteil 2 und Ziff. I.1.2.3 implizit freigesprochen. Zudem stellte es die teilweise Rechtskraft des regionalgerichtlichen Urteils fest. Es sprach den Beschwerdeführer von den Anschuldigungen der qualifizierten Widerhandlung gegen das Betäubungsmittelgesetz gemäss Anklageschrift Ziff. I.1.2.2 Lemma 4 und Ziff. I.1.2.4 Sachverhaltsteil 2 frei. Hingegen sprach es ihn schuldig der qualifizierten Widerhandlung gegen das Betäubungsmittelgesetz gemäss Anklageschrift Ziff. I.1.2.1, Ziff. I.1.2.2 Lemma 2 und Ziff. I.1.2.2 Lemma 5 und verurteilte ihn zu einer Freiheitsstrafe von 3 Jahren und 9 Monaten (unter Anrechnung der Untersuchungs- und Sicherheitshaft von 391 Tagen). Es regelte zudem die Kosten- und Entschädigungsfolgen.</w:t>
      </w:r>
    </w:p>
    <w:p>
      <w:r>
        <w:t>Mit Beschwerde an das Bundesgericht beantragt der Beschwerdeführer im Wesentlichen die Aufhebung des obergerichtlichen Urteils und die Rückweisung der Sache an die Vorinstanz zur neuen Beurteilung.</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Diesen Anforderungen wird die Beschwerde nicht gerecht. Der Beschwerdeführer bestreitet die "gegen ihn erhobenen Beschuldigungen" und führt pauschal aus, das Urteil beruhe auf einer "unzutreffenden und einseitigen Beweiswürdigung" sowie "auf Tatsachenannahmen, die mit dem tatsächlichen Geschehensablauf nicht übereinstimmten". "Mehrere entscheidende Beweise", die "seine Unschuld oder zumindest erhebliche Zweifel an einer Tatbeteiligung aufzeigten", seien "nicht berücksichtigt" oder "falsch interpretiert" worden. Entsprechend habe die Vorinstanz bei der Beweiswürdigung und Rechtsanwendung zu seinen Lasten "unzutreffende Schlüsse" gezogen und zudem wesentliche Verfahrensrechte, insbesondere das rechtliche Gehör sowie die Unschuldsvermutung missachtet. Er rügt eine Verletzung von Bundesrecht, namentlich eine Verletzung der StPO, der BV ( Art. 29 Abs. 2 BV und Art. 32 Abs. 1 BV ) und der EMRK ( Art. 6 EMRK bzw. Art. 6 Abs. 2 EMRK ). Die Kritik des Beschwerdeführers erschöpft sich in blossen Bestreitungen und unbelegten Behauptungen. Weshalb und inwiefern die Beweiswürdigung der Vorinstanz unzutreffend bzw. einseitig sein soll begründet er nicht näher; ebenso wenig spezifiziert er, welche entscheidenden und für seine Unschuld sprechenden Beweise unberücksichtigt geblieben sein sollen. Eine Auseinandersetzung mit den Erwägungen im angefochtenen Urteil fehlt vollständig. Dass und inwiefern die Vorinstanz im Zusammenhang mit der Beweiswürdigung, den Schuldsprüchen, der ausgefällten Strafe oder den Kostenfolgen geltendes Recht im Sinne von Art. 95 BGG verletzt haben könnte, ergibt sich aus der Beschwerde mithin nicht ansatzweise. Der Begründungsmangel ist evident. Auf die Beschwerde ist im Verfahren nach Art. 108 BGG mangels einer tauglichen Begründung nicht einzutreten.</w:t>
      </w:r>
    </w:p>
    <w:p>
      <w:r>
        <w:rPr>
          <w:b/>
        </w:rPr>
        <w:t>E. 4</w:t>
      </w:r>
    </w:p>
    <w:p>
      <w:r>
        <w:t>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