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6B_861/2022 vom 13. April 2023</w:t>
      </w:r>
    </w:p>
    <w:p>
      <w:r>
        <w:t>Bundesgericht, 2023-04-13, FR</w:t>
      </w:r>
    </w:p>
    <w:p>
      <w:r>
        <w:rPr>
          <w:b/>
        </w:rPr>
        <w:t xml:space="preserve">Quelle: </w:t>
      </w:r>
      <w:r>
        <w:t>https://mcp.opencaselaw.ch/entscheid/bger_6B_861_2022</w:t>
      </w:r>
    </w:p>
    <w:p>
      <w:r>
        <w:t>FR: TF 6B_861/2022 du 13 avril 2023</w:t>
      </w:r>
    </w:p>
    <w:p>
      <w:r>
        <w:t>IT: TF 6B_861/2022 del 13 aprile 2023</w:t>
      </w:r>
    </w:p>
    <w:p>
      <w:pPr>
        <w:pStyle w:val="Heading2"/>
      </w:pPr>
      <w:r>
        <w:t>Erwägungen</w:t>
      </w:r>
    </w:p>
    <w:p>
      <w:r>
        <w:rPr>
          <w:b/>
        </w:rPr>
        <w:t>E. 1</w:t>
      </w:r>
    </w:p>
    <w:p>
      <w:r>
        <w:t>Le jugement attaqué prononce une créance compensatrice de 96'000 fr. en faveur de l'État et confirme le maintien du séquestre de divers comptes au-delà de l'entrée en force du jugement en vue de l'exécution de la créance compensatrice. Dans la mesure où le recourant est titulaire des avoirs saisis, il peut se prévaloir d'un intérêt juridique à obtenir l'annulation ou la modification du jugement attaqué, de sorte qu'il dispose de la qualité pour recourir au sens de l' art. 81 al. 1 LTF ( ATF 133 IV 278 consid. 1.3 p. 282 s.; 128 IV 145 consid. 1a p. 148). En revanche, lorsque le jugement attaqué confirme le maintien du séquestre sur les valeurs déposées sur le compte de la mère du recourant, celui-ci n'est pas lésé par le jugement puisqu'il n'est pas titulaire du compte, de sorte qu'il n'a pas la qualité pour recourir. Le recours est donc irrecevable en tant que le recourant conteste le séquestre sur les valeurs déposées sur le compte de la Banque cantonale neuchâteloise ouvert au nom de sa mère.</w:t>
      </w:r>
    </w:p>
    <w:p>
      <w:r>
        <w:rPr>
          <w:b/>
        </w:rPr>
        <w:t>E. 2</w:t>
      </w:r>
    </w:p>
    <w:p>
      <w:r>
        <w:t>Le recourant conteste le séquestre de ses biens en vue de l'exécution de la créance compensatrice.</w:t>
      </w:r>
    </w:p>
    <w:p>
      <w:r>
        <w:rPr>
          <w:b/>
        </w:rPr>
        <w:t>E. 2.1.1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la confiscation peut porter tant sur le produit direct de l'infraction que sur les objets acquis au moyen de ce produit dans la mesure où les différentes transactions peuvent être identifiées et documentées ("Papierspur", "paper trail") ( ATF 144 IV 172 consid. 7.2.2 p. 175; arrêt 6B_98/2021 du 8 octobre 2021 consid. 3.1). Lorsque les valeurs patrimoniales à confisquer ne sont plus disponibles - parce qu'elles ont été consommées, dissimulées ou aliénées -, le juge ordonne, conformément à l'article 71 CP, leur remplacement par une créance compensatrice de l'État d'un montant équivalent, dont le but est d'éviter que celui qui a disposé des objets ou valeurs à confisquer soit privilégié par rapport à celui qui les a conservés ( ATF 140 IV 57 consid. 4.1.2 p. 62).</w:t>
      </w:r>
    </w:p>
    <w:p>
      <w:r>
        <w:rPr>
          <w:b/>
        </w:rPr>
        <w:t>E. 2.1.2</w:t>
      </w:r>
    </w:p>
    <w:p>
      <w:r>
        <w:t>Aux termes de l' art. 70 al. 5 CP , si le montant des valeurs patrimoniales soumises à la confiscation ne peut pas être déterminé avec précision ou si cette détermination requiert des moyens disproportionnés, le juge peut procéder à une estimation. L' art. 70 al. 5 CP n'emporte aucun allègement des conditions de fond de la mesure de confiscation ou de la créance compensatrice, mais consacre un allègement du fardeau de la preuve en ce qui concerne la détermination du montant à confisquer ( ATF 144 IV 1 consid. 4.4.1 p. 11).</w:t>
      </w:r>
    </w:p>
    <w:p>
      <w:r>
        <w:t>Selon l' art. 71 al. 2 CP , le juge peut renoncer totalement ou partiellement à la créance compensatrice s'il est à prévoir qu'elle ne serait pas recouvrable ou qu'elle entraverait sérieusement la réinsertion de la personne concernée. Il doit procéder à une appréciation globale de la situation de l'intéressé. Le cas échéant, il tiendra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 ATF 119 IV 17 consid. 2a p. 21).</w:t>
      </w:r>
    </w:p>
    <w:p>
      <w:r>
        <w:rPr>
          <w:b/>
        </w:rPr>
        <w:t>E. 2.1.3</w:t>
      </w:r>
    </w:p>
    <w:p>
      <w:r>
        <w:t>L' art. 71 al. 3 CP prévoit que l'autorité d'instruction peut placer sous séquestre, en vue de l'exécution d'une créance compensatrice, des valeurs patrimoniales appartenant à la personne concernée, sans lien de connexité avec les faits faisant l'objet de l'instruction pénale ( ATF 140 IV 57 consid. 4.1.2 p. 63). Le séquestre au sens de l' art. 71 al. 3 CP est une mesure d'une nature et d'une portée différente du séquestre pénal traditionnel, en ce sens que ses effets sont maintenus au-delà de l'entrée en force du jugement, jusqu'au moment où une mesure du droit des poursuites aura pris le relais (Hirsig-Vouilloz, in Commentaire romand, Code pénal I, 2e éd., n° 21 ad art. 71 CP et les références citées). Eu égard aux intérêts des créanciers, la poursuite de la créance compensatrice, la réalisation des biens séquestrés et la distribution des deniers interviendront conformément à la loi sur la poursuite pour dettes et la faillite. Le séquestre doit ainsi respecter les restrictions imposées par l' art. 92 LP et ne pas porter atteinte au minimum vital de l'intéressé (Hirsig-Vouilloz, op. cit., n° 22 ad art. 71 CP ).</w:t>
      </w:r>
    </w:p>
    <w:p>
      <w:r>
        <w:rPr>
          <w:b/>
        </w:rPr>
        <w:t>E. 2.2.1</w:t>
      </w:r>
    </w:p>
    <w:p>
      <w:r>
        <w:t>La cour cantonale a ordonné une créance compensatrice en faveur de l'État ( art. 71 al. 1 CP ), car la confiscation n'était plus possible. En effet, l'instruction n'avait pas permis d'établir que les montants qui se trouvaient sur les comptes bancaires du recourant étaient liés à son trafic de cocaïne ni d'établir l'origine de l'argent liquide saisi à son domicile. Pour fixer le montant de la créance compensatrice, la cour cantonale a retenu que le recourant avait réalisé, grâce à son trafic de stupéfiants, un chiffre d'affaires d'au moins 122'000 francs. Estimant qu'une créance compensatrice d'un tel montant était disproportionnée, parce que sensiblement supérieure aux possibilités du recourant et entraînerait des poursuites qui nuiraient à ses chances de réinsertion, elle a réduit ce montant à 96'000 fr. en application de l' art. 71 al. 2 CP . Pour permettre le recouvrement par l'État de la créance compensatrice au besoin par la voie de poursuite, elle a maintenu le séquestre au sens de l' art. 71 al. 3 CP , précisant que le recourant n'avait ni allégué ni établi que cette mesure conservatoire constituerait une atteinte à la garantie de son minimum vital au sens des art. 92 et 93 LP .</w:t>
      </w:r>
    </w:p>
    <w:p>
      <w:r>
        <w:rPr>
          <w:b/>
        </w:rPr>
        <w:t>E. 2.2.2</w:t>
      </w:r>
    </w:p>
    <w:p>
      <w:r>
        <w:t>Le recourant considère que le séquestre des montants en vue d'une créance compensatrice revêt un caractère abusif et une rigueur excessive, de sorte qu'il y a lieu de lever ces séquestres et d'ordonner la libération des valeurs en sa faveur. Il explique que les sommes saisies à son domicile proviennent d'une indemnité de 10'000 fr. à la suite d'un accident, versée par la SUVA sur son compte CCP. L'argent versé sur les comptes en France proviendrait de montants remis par ses clients et aurait été destiné à être utilisé en faveur de ceux-ci; selon le recourant, la séquestration de ces montants en vue d'une créance compensatrice reviendrait à spolier des tiers; en outre, une partie des valeurs versées sur ces comptes l'aurait été en dehors de la période des infractions reprochées. Enfin, les valeurs déposées sur les comptes en Suisse proviendraient de prestations d'assurances ou du revenu de son activité de déménageur, sans lien avec une quelconque activité illicite.</w:t>
      </w:r>
    </w:p>
    <w:p>
      <w:r>
        <w:rPr>
          <w:b/>
        </w:rPr>
        <w:t>E. 2.3</w:t>
      </w:r>
    </w:p>
    <w:p>
      <w:r>
        <w:t>Le recourant ne conteste pas les conditions de la créance compensatrice ni son montant. Il s'en prend uniquement aux séquestres ordonnés sur ses comptes. C'est à tort qu'il estime que le séquestre en application de l' art. 71 al. 3 CP ne peut porter que sur des valeurs d'origine criminelle. Comme vu ci-dessus, le séquestre est une mesure conservatoire en vue de garantir l'exécution de la créance compensatrice et peut porter sur n'importe quel bien appartenant à l'intéressé, sans lien de connexité avec les faits faisant l'objet de l'instruction pénale. Le recourant soutient également que certaines valeurs en compte lui auraient été confiées par des tiers. Purement appellatoire, son affirmation est irrecevable ( ATF 147 IV 73 consid. 4.1.2). Il ne conteste au demeurant pas être le seul titulaire du compte concerné. Enfin, il n'a ni allégué ni établi que le séquestre de ses comptes constituerait une atteinte à la garantie de son minimum vital au sens des art. 92 et 93 CP . Au vu de l'ensemble des circonstances, la cour cantonale n'a donc pas violé le droit fédéral en confirmant le maintien du séquestre ordonné le 18 décembre 2017 pour permettre le recouvrement par l'État de la créance compensatrice.</w:t>
      </w:r>
    </w:p>
    <w:p>
      <w:r>
        <w:rPr>
          <w:b/>
        </w:rPr>
        <w:t>E. 3</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