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860/2009 vom 1. Dezember 2009</w:t>
      </w:r>
    </w:p>
    <w:p>
      <w:r>
        <w:t>Bundesgericht, 2009-12-01, FR</w:t>
      </w:r>
    </w:p>
    <w:p>
      <w:r>
        <w:rPr>
          <w:b/>
        </w:rPr>
        <w:t xml:space="preserve">Quelle: </w:t>
      </w:r>
      <w:r>
        <w:t>https://mcp.opencaselaw.ch/entscheid/bger_6B_860_2009</w:t>
      </w:r>
    </w:p>
    <w:p>
      <w:r>
        <w:t>FR: TF 6B 860/2009 du 1 décembre 2009</w:t>
      </w:r>
    </w:p>
    <w:p>
      <w:r>
        <w:t>IT: TF 6B 860/2009 del 1 dicembre 2009</w:t>
      </w:r>
    </w:p>
    <w:p>
      <w:pPr>
        <w:pStyle w:val="Heading2"/>
      </w:pPr>
      <w:r>
        <w:t>Regeste</w:t>
      </w:r>
    </w:p>
    <w:p>
      <w:r>
        <w:t>Ordonnance de classement (dénonciation calomnieuse, injures, etc.); arbitraire | Droit pénal (en général)</w:t>
      </w:r>
    </w:p>
    <w:p>
      <w:pPr>
        <w:pStyle w:val="Heading2"/>
      </w:pPr>
      <w:r>
        <w:t>Erwägungen</w:t>
      </w:r>
    </w:p>
    <w:p>
      <w:r>
        <w:rPr>
          <w:b/>
        </w:rPr>
        <w:t>E. 1</w:t>
      </w:r>
    </w:p>
    <w:p>
      <w:r>
        <w:t>Il convient d'examiner en premier lieu dans quelle mesure la recourante a qualité pour former le présent recours.</w:t>
      </w:r>
    </w:p>
    <w:p>
      <w:r>
        <w:rPr>
          <w:b/>
        </w:rPr>
        <w:t>E. 1.1</w:t>
      </w:r>
    </w:p>
    <w:p>
      <w:r>
        <w:t>La recourante n'invoque pas de violation de ses droits de plainte et ne peut donc fonder sa qualité pour recourir sur l'art. 81 al. 1 let. b ch. 6 LTF, dont elle ne se prévaut d'ailleurs pas.</w:t>
      </w:r>
    </w:p>
    <w:p>
      <w:r>
        <w:rPr>
          <w:b/>
        </w:rPr>
        <w:t>E. 1.2</w:t>
      </w:r>
    </w:p>
    <w:p>
      <w:r>
        <w:t>Selon la jurisprudence, la personne qui se prétend lésée par une dénonciation calomnieuse, par une atteinte à l'honneur (diffamation, calomnie, injure) ou par une infraction contre la liberté individuelle, telle que la contrainte ou les menaces, ne revêt la qualité de victime, au sens de la LAVI, que si les circonstances étaient suffisamment graves pour entraîner une atteinte directe et significative à son intégrité psychique, ce qui doit être déterminé d'un point de vue objectif, et non en fonction de la sensibilité personnelle et subjective du lésé ( ATF 129 IV 206 consid. 1 p. 207; 120 Ia 157 consid. 2d/aa p. 162/163; cf. aussi arrêts 6S.513/2006 consid. 3.2 et 1A.70/2004 consid. 2.3). En l'espèce, il n'est aucunement établi que la recourante, comme elle l'affirme, aurait subi une telle atteinte à raison de la dénonciation calomnieuse que représenterait la contre-plainte déposée contre elle par B.________ ainsi que des menaces, dont on ignore même en quoi elles auraient consisté, et des injures, telles qu'alléguées, que cette dernière aurait proférées contre elle. Subséquemment, la recourante ne revêt pas la qualité de victime à raison de ces infractions. Partant, elle n'est pas habilitée à se plaindre, sur la base de l'art. 81 al. 1 let. b ch. 5 LTF, du classement de sa plainte en ce qui les concerne. La recourante est en revanche une victime, au sens de la LAVI, de l'infraction de lésions corporelles qu'elle a aussi dénoncée, de sorte que, s'agissant de cette infraction, elle peut contester le classement de sa plainte en se fondant sur l'art. 81 al. 1 let. b ch. 5 LTF.</w:t>
      </w:r>
    </w:p>
    <w:p>
      <w:r>
        <w:rPr>
          <w:b/>
        </w:rPr>
        <w:t>E. 1.3</w:t>
      </w:r>
    </w:p>
    <w:p>
      <w:r>
        <w:t>Dans la mesure où les conditions auxquelles le plaignant et la victime peuvent recourir ne sont pas remplies, la recourante, qui n'est manifestement pas un accusateur privé au sens de l'art. 81 al. 1 let. b ch. 4 LTF, a le statut de simple lésée. Comme telle, elle n'est toutefois pas habilitée à remettre en cause, même indirectement, le classement litigieux sur le fond, par exemple en contestant l'application de la loi matérielle ou en se plaignant d'arbitraire dans l'établissement des faits, mais peut uniquement invoquer une atteinte aux droits procéduraux, dont la violation équivaut à un déni de justice formel, qui lui sont reconnus par le droit cantonal ou qui découlent directement du droit constitutionnel ( ATF 133 IV 228 consid. 2 p. 229 ss; 131 I 455 consid. 1.2.1 p. 458/459; 129 I 217 consid. 1.4 p. 222 et les arrêts cités). Or, s'agissant du classement de sa plainte pour dénonciation calomnieuse, menaces et injure, la recourante ne soulève pas un tel grief. Du moins, n'en discerne-t-on pas qui soit motivé de manière suffisante au regard des exigences de l' art. 106 al. 2 LTF (cf. ATF 133 IV 286 consid. 1.4 p. 287).</w:t>
      </w:r>
    </w:p>
    <w:p>
      <w:r>
        <w:rPr>
          <w:b/>
        </w:rPr>
        <w:t>E. 1.4</w:t>
      </w:r>
    </w:p>
    <w:p>
      <w:r>
        <w:t>Le présent recours n'est ainsi recevable, sous l'angle de la qualité pour recourir, que dans la mesure où il est dirigé contre le classement de la plainte pour lésions corporelles simples.</w:t>
      </w:r>
    </w:p>
    <w:p>
      <w:r>
        <w:rPr>
          <w:b/>
        </w:rPr>
        <w:t>E. 2</w:t>
      </w:r>
    </w:p>
    <w:p>
      <w:r>
        <w:t>La recourante n'invoque aucun arbitraire dans l'établissement des faits en ce qui concerne l'infraction de lésions corporelles, qu'elle ne démontre en tout cas pas conformément aux exigences de motivation de l' art.106 al. 2 LTF . Elle ne saurait se plaindre d'une violation de l' art. 123 CP , puisque, comme elle le relève par ailleurs elle-même, la décision attaquée admet que les éléments constitutifs de cette infraction apparaissent réalisés. Seule demeure donc à examiner la question de savoir si, s'agissant de l'infraction en cause, le classement de la plainte en opportunité est admissible.</w:t>
      </w:r>
    </w:p>
    <w:p>
      <w:r>
        <w:rPr>
          <w:b/>
        </w:rPr>
        <w:t>E. 2.1</w:t>
      </w:r>
    </w:p>
    <w:p>
      <w:r>
        <w:t>Selon la jurisprudence, un classement en opportunité viole le droit fédéral s'il trahit une volonté de l'autorité de ne pas appliquer ce droit ou d'en modifier la portée ou s'il repose sur une motivation si peu convaincante que l'on doive l'assimiler à un refus d'appliquer le droit fédéral ( ATF 120 IV 38 consid. 3 p. 42/43, 107 consid. 2b p. 111; 119 IV 92 consid. 3b p. 101). Il est en revanche admissible lorsque les versions des parties divergent quant au déroulement exact des faits, que ceux-ci sont peu graves et que les conséquences pour la victime sont limitées (cf. arrêts 6B_636/2009 consid. 2.2 et 5, 6B_198/2009 consid. 3.2 et 6S.440/2006 consid. 3.1).</w:t>
      </w:r>
    </w:p>
    <w:p>
      <w:r>
        <w:rPr>
          <w:b/>
        </w:rPr>
        <w:t>E. 2.2</w:t>
      </w:r>
    </w:p>
    <w:p>
      <w:r>
        <w:t>En l'espèce, les protagonistes ont fourni et maintenu constamment une version divergente du déroulement des événements, chacune d'elles accusant l'autre de l'avoir agressée et frappée et contestant l'avoir fait elle-même. Il est par ailleurs établi que les lésions subies par la recourante ont consisté en des dermabrasions et griffures à la poitrine et à la main gauche, soit des lésions ne présentant aucune gravité particulière. Fondé sur ces éléments, le classement litigieux ne dénote pas de refus d'appliquer le droit fédéral, ni de volonté d'en modifier la portée. Il repose sur des motifs raisonnables. Partant, il ne viole pas le droit fédéral.</w:t>
      </w:r>
    </w:p>
    <w:p>
      <w:r>
        <w:rPr>
          <w:b/>
        </w:rPr>
        <w:t>E. 3</w:t>
      </w:r>
    </w:p>
    <w:p>
      <w:r>
        <w:t>Le recours doit ainsi être rejeté dans la mesure où il est recevable. Comme les conclusions de la recourante étaient d'emblée vouées à l'échec, l'assistance judiciaire ne peut être accordée ( art. 64 al. 1 LTF ). La recourante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