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6B_858/2022 vom 2. Juni 2023</w:t>
      </w:r>
    </w:p>
    <w:p>
      <w:r>
        <w:t>Bundesgericht, 2023-06-02, FR</w:t>
      </w:r>
    </w:p>
    <w:p>
      <w:r>
        <w:rPr>
          <w:b/>
        </w:rPr>
        <w:t xml:space="preserve">Quelle: </w:t>
      </w:r>
      <w:r>
        <w:t>https://mcp.opencaselaw.ch/entscheid/bger_6B_858_2022</w:t>
      </w:r>
    </w:p>
    <w:p>
      <w:r>
        <w:t>FR: TF 6B_858/2022 du 2 juin 2023</w:t>
      </w:r>
    </w:p>
    <w:p>
      <w:r>
        <w:t>IT: TF 6B_858/2022 del 2 giugno 2023</w:t>
      </w:r>
    </w:p>
    <w:p>
      <w:pPr>
        <w:pStyle w:val="Heading2"/>
      </w:pPr>
      <w:r>
        <w:t>Erwägungen</w:t>
      </w:r>
    </w:p>
    <w:p>
      <w:r>
        <w:rPr>
          <w:b/>
        </w:rPr>
        <w:t>E. 1</w:t>
      </w:r>
    </w:p>
    <w:p>
      <w:r>
        <w:t>Condamné à une peine privative de liberté de six ans et demi, le recourant se plaint d'une mauvaise application de l' art. 47 CP et requiert que la peine soit réduite à quatre ans.</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w:t>
      </w:r>
    </w:p>
    <w:p>
      <w:r>
        <w:rPr>
          <w:b/>
        </w:rPr>
        <w:t>E. 1.2</w:t>
      </w:r>
    </w:p>
    <w:p>
      <w:r>
        <w:t>La cour cantonale a retenu, au moment de fixer la peine, que la faute du recourant devait être qualifiée de très lourde dès lors qu'il s'en était pris soudainement et violemment à l'intimée qui lui avait offert un toit pendant quelques jours, alors qu'elle même vivait dans une grande précarité et qu'il n'avait jamais exprimé les motivations de son geste, qui avait été gratuit, d'une grande violence, dépourvu de sens et ne répondant à aucune provocation. Ce geste n'avait au demeurant jamais expressément été reconnu. Elle a indiqué que les conséquences de celui-ci auraient pu être bien plus graves sans la réactivité de l'intimée et que, abstraitement, ces faits emporteraient en réalité une peine privative de liberté de l'ordre de huit ans. Toutefois, compte tenu de sa responsabilité restreinte, c'est plutôt une peine hypothétique de six ans qui devrait être prononcée. La cour a encore ajouté, qu'au vu de la mauvaise situation personnelle du recourant, ses mobiles résultant d'un défoulement colérique et incontrôlé, et ses antécédents, cette peine aurait dû être portée à sept ans. Elle a conclu que la peine, ne pouvant être aggravée ( art. 391 al. 2 CPP ), devait être considérée comme adéquate et confirmée.</w:t>
      </w:r>
    </w:p>
    <w:p>
      <w:r>
        <w:rPr>
          <w:b/>
        </w:rPr>
        <w:t>E. 1.3</w:t>
      </w:r>
    </w:p>
    <w:p>
      <w:r>
        <w:t>Le recourant reproche à la cour cantonale de ne pas avoir pris en compte la tentative ( art. 22 al. 1 CP ) dans le cadre de la fixation de la peine.</w:t>
      </w:r>
    </w:p>
    <w:p>
      <w:r>
        <w:t>Conformément à l' art. 22 CP ,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si le juge n'a pas l'obligation de sortir du cadre légal, il doit alors tenir compte de l'absence de résultat dommageable, comme élément à décharge, dans le cadre de l'application de l' art. 47 CP . La mesure de cette atténuation dépend notamment de la proximité du résultat, ainsi que des conséquences effectives des actes commis ( ATF 127 IV 101 consid. 2b; 121 IV 49 consid. 1b).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 ATF 127 IV 101 consid. 2b; arrêt 6B_240/2022 du 16 mars 2023 consid. 2.5.3).</w:t>
      </w:r>
    </w:p>
    <w:p>
      <w:r>
        <w:t>Quoi qu'en dise le recourant, la cour cantonale n'a pas ignoré la tentative ( art. 22 al. 1 CP ) qu'elle a prise en considération. Elle a en particulier observé que les conséquences de l'acte auraient pu être bien plus graves sans la réactivité de l'intimée. On comprend ainsi que le résultat de l'infraction était proche et qu'il n'a été évité que par l'attitude de la victime qui a réussi à se déplacer pieds nus, blessée, jusqu'au poste de police. En outre, la cour cantonale a jugé que la situation personnelle "chaotique" du recourant, même si difficile, ne saurait expliquer ni justifier son passage à l'acte violent à l'encontre de l'intimée qui n'a fait que de lui tendre la main. Une réduction en lien avec la tentative a donc été compensée par une augmentation de la peine au vu du nombre important de circonstances aggravantes. A l'aune de ce qui précède, on ne voit pas en quoi la cour cantonale aurait outrepassé le pouvoir d'appréciation offert par l' art. 22 al. 1 CP . Le grief soulevé doit donc être rejeté.</w:t>
      </w:r>
    </w:p>
    <w:p>
      <w:r>
        <w:rPr>
          <w:b/>
        </w:rPr>
        <w:t>E. 1.4</w:t>
      </w:r>
    </w:p>
    <w:p>
      <w:r>
        <w:t>Le recourant estime être victime d'une inégalité de traitement par rapport à d'autres affaires qui seraient similaires dans les faits et dont la peine fixée serait inférieure.</w:t>
      </w:r>
    </w:p>
    <w:p>
      <w:r>
        <w:t>Dans le contexte de la fixation de la peine, le recourant peut également faire valoir une inégalité de traitement. Compte tenu des nombreux paramètres qui interviennent dans la fixation de la peine, une comparaison avec des affaires concernant d'autres accusés et des faits différents est d'emblée délicate. Il ne suffit pas que, dans l'hypothèse où le condamné conteste la peine prononcée à son égard, il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et les arrêts cités).</w:t>
      </w:r>
    </w:p>
    <w:p>
      <w:r>
        <w:t>Le recourant ne démontre pas, en l'espèce, en quoi les circonstances concrètes de son cas, y compris les circonstances personnelles, seraient similaires aux cas qu'il cite, si bien que les comparaisons invoquées sont sans pertinence. Son grief est donc infondé.</w:t>
      </w:r>
    </w:p>
    <w:p>
      <w:r>
        <w:rPr>
          <w:b/>
        </w:rPr>
        <w:t>E. 1.5</w:t>
      </w:r>
    </w:p>
    <w:p>
      <w:r>
        <w:t>Le recourant fait encore grief à la cour cantonale de ne pas avoir pris à décharge une série d'éléments.</w:t>
      </w:r>
    </w:p>
    <w:p>
      <w:r>
        <w:rPr>
          <w:b/>
        </w:rPr>
        <w:t>E. 1.5.1</w:t>
      </w:r>
    </w:p>
    <w:p>
      <w:r>
        <w:t>Le recourant reproche à la cour cantonale de ne pas avoir tenu compte du fait qu'il serait revenu sur les lieux du crime et qu'il aurait pris des nouvelles sur l'état de santé de la victime. Outre que cet élément n'aurait rien de déterminant, il ne ressort nullement des faits retenus, de sorte que le grief est irrecevable.</w:t>
      </w:r>
    </w:p>
    <w:p>
      <w:r>
        <w:rPr>
          <w:b/>
        </w:rPr>
        <w:t>E. 1.5.2</w:t>
      </w:r>
    </w:p>
    <w:p>
      <w:r>
        <w:t>Le recourant indique que sa vie personnelle précaire et difficile, son trouble mental, ainsi que le décès de sa mère auraient dû être pris en compte par la cour cantonale comme des éléments atténuants et pas uniquement comme éléments aggravants.</w:t>
      </w:r>
    </w:p>
    <w:p>
      <w:r>
        <w:t>Il ressort de l'arrêt attaqué que le trouble mental du recourant a été diagnostiqué et pris en compte en sa faveur dans la fixation de la peine, ce que celui-ci semble par ailleurs admettre dans son recours (§ 52). Dès lors, il ne peut en tirer aucun grief supplémentaire. Les autres éléments invoqués ont été pris en compte par la cour cantonale et on ne discerne aucune violation du pouvoir d'appréciation à leur égard.</w:t>
      </w:r>
    </w:p>
    <w:p>
      <w:r>
        <w:rPr>
          <w:b/>
        </w:rPr>
        <w:t>E. 1.5.3</w:t>
      </w:r>
    </w:p>
    <w:p>
      <w:r>
        <w:t>Le recourant laisse entendre que la cour cantonale aurait dû tenir compte de la durée de l'expulsion sur sa vie personnelle pour fixer la peine. Ce critère n'est cependant pas pertinent.</w:t>
      </w:r>
    </w:p>
    <w:p>
      <w:r>
        <w:rPr>
          <w:b/>
        </w:rPr>
        <w:t>E. 1.6</w:t>
      </w:r>
    </w:p>
    <w:p>
      <w:r>
        <w:t>En conclusion, la peine privative de liberté de six ans et demi infligée au recourant n'apparaît pas sévère au point qu'il faille conclure à un abus du large pouvoir d'appréciation accordé à la cour cantonale. Cette dernière a motivé de manière détaillée et complète la peine, et le recourant n'invoque aucun élément, propre à modifier la peine, qu'elle aurait omis ou pris en considération à tort. Le grief de violation de l' art. 47 CP est dès lors infondé.</w:t>
      </w:r>
    </w:p>
    <w:p>
      <w:r>
        <w:rPr>
          <w:b/>
        </w:rPr>
        <w:t>E. 2</w:t>
      </w:r>
    </w:p>
    <w:p>
      <w:r>
        <w:t>Le recourant ne conteste pas le principe de l'expulsion mais sa durée qu'il souhaite voir réduite de dix ans à cinq ans.</w:t>
      </w:r>
    </w:p>
    <w:p>
      <w:r>
        <w:rPr>
          <w:b/>
        </w:rPr>
        <w:t>E. 2.1</w:t>
      </w:r>
    </w:p>
    <w:p>
      <w:r>
        <w:t>Conformément à l' art. 66a al. 1 let. a CP , le juge expulse de Suisse l'étranger qui est condamné notamment pour meurtre, quelle que soit la quotité de la peine prononcée à son encontre, pour une durée de cinq à quinze ans. Cette disposition s'applique également en cas de tentative ( ATF 144 IV 168 consid. 1.4.1).</w:t>
      </w:r>
    </w:p>
    <w:p>
      <w:r>
        <w:rPr>
          <w:b/>
        </w:rPr>
        <w:t>E. 2.2</w:t>
      </w:r>
    </w:p>
    <w:p>
      <w:r>
        <w:t>La cour cantonale a jugé que le recourant n'avait aucun lien avec la Suisse et qu'il n'avait invoqué aucun réel motif pour réduire la durée d'expulsion ordonnée. Elle a en outre estimé qu'au vu de la gravité des faits reprochés, l'ordre public suisse devait être protégé. Partant, la durée de dix ans était justifiée et proportionnée.</w:t>
      </w:r>
    </w:p>
    <w:p>
      <w:r>
        <w:rPr>
          <w:b/>
        </w:rPr>
        <w:t>E. 2.3</w:t>
      </w:r>
    </w:p>
    <w:p>
      <w:r>
        <w:t>La durée de l'expulsion, contre laquelle le recourant n'élève aucune critique circonstanciée, et qui correspond au milieu de la fourchette prévue par l' art. 66a al. 1 CP , ne viole pas le droit fédéral au regard de l'infraction commise et de sa lourde culpabilité.</w:t>
      </w:r>
    </w:p>
    <w:p>
      <w:r>
        <w:rPr>
          <w:b/>
        </w:rPr>
        <w:t>E. 3</w:t>
      </w:r>
    </w:p>
    <w:p>
      <w:r>
        <w:t>Le recourant se plaint d'une violation de l' art. 120 al. 1 CPP en ce sens qu'il estime que l'intimée aurait, valablement et de manière définitive, renoncé à ses prétentions civiles lors de sa première audition par la police.</w:t>
      </w:r>
    </w:p>
    <w:p>
      <w:r>
        <w:rPr>
          <w:b/>
        </w:rPr>
        <w:t>E. 3.1</w:t>
      </w:r>
    </w:p>
    <w:p>
      <w:r>
        <w:t>On entend par partie plaignante le lésé qui déclare expressément vouloir participer à la procédure pénale comme demandeur au pénal ou au civil ( art. 118 al. 1 CPP ). La personne lésée peut faire la déclaration prévue à l' art. 118 al. 1 CPP par écrit ou par oral, les déclarations orales étant consignées au procès-verbal ( art. 119 al. 1 CPP ). Dans cette déclaration, le lésé peut cumulativement ou alternativement demander la poursuite et la condamnation de la personne pénalement responsable de l'infraction ou/et faire valoir des conclusions civiles déduites de l'infraction par adhésion à la procédure pénale ( art. 119 al. 2 let. a et b CPP ).</w:t>
      </w:r>
    </w:p>
    <w:p>
      <w:r>
        <w:t>A teneur de l' art. 120 al. 1 CPP , le lésé peut en tout temps déclarer par écrit ou par oral qu'il renonce à user des droits qui sont les siens; la déclaration orale est consignée au procès-verbal. La renonciation est définitive. La volonté de retirer une action pénale ou civile doit être exprimée sans équivoque (arrêts 6B_173/2021 du 14 juillet 2021 consid. 3.3; 1B_323/2019 du 24 octobre 2019 consid. 2.1). Il n'y a en principe rien à objecter à l'utilisation de formulaires correspondants dans la procédure pénale. Ils facilitent non seulement la réception par les autorités de déclarations ayant une portée juridique, mais permettent également à la personne concernée d'exprimer clairement et sans équivoque ses préoccupations. Cela présuppose que les formulaires soient conçus de manière compréhensible, qu'ils reflètent correctement la situation juridique déterminante et que la signature du formulaire permette de tirer des conclusions claires sur la volonté de la personne concernée. Les formulaires devraient en principe pouvoir être remplis par un profane en matière juridique et sans l'aide d'un fonctionnaire (arrêts 1B_188/2015 du 9 février 2016 consid. 4.3; 6B_978/2013 du 19 mai 2014 consid. 2.4).</w:t>
      </w:r>
    </w:p>
    <w:p>
      <w:r>
        <w:rPr>
          <w:b/>
        </w:rPr>
        <w:t>E. 3.2</w:t>
      </w:r>
    </w:p>
    <w:p>
      <w:r>
        <w:t>La cour cantonale a jugé que l'intimée n'était pas en mesure de renoncer valablement à ses prétentions civiles dans son procès-verbal d'audition, puisqu'elle était sous curatelle de gestion et de représentation.</w:t>
      </w:r>
    </w:p>
    <w:p>
      <w:r>
        <w:rPr>
          <w:b/>
        </w:rPr>
        <w:t>E. 3.3</w:t>
      </w:r>
    </w:p>
    <w:p>
      <w:r>
        <w:t>En vertu de l' art. 394 al. 1 CC , une curatelle de représentation est instituée lorsque la personne qui a besoin d'aide ne peut accomplir certains actes et doit de ce fait être représentée, et selon l' art. 395 al. 1 CC , l'autorité peut soumettre à la gestion tout ou partie des revenus ou de la fortune, ou l'ensemble des biens d'une personne. Ces différents types de curatelles peuvent être combinés ( art. 397 CC ; arrêt 5A_844/2017 du 15 mai 2018 consid. 5.1). La mesure de curatelle de représentation en relation avec la gestion du patrimoine a pour but de protéger les personnes qui ne sont pas capables de gérer seules leurs biens sans porter atteinte à leurs propres intérêts (arrêt 5A_540/2013 du 3 décembre 2013 consid. 5.1.1 non publié aux ATF 140 III 1 ).</w:t>
      </w:r>
    </w:p>
    <w:p>
      <w:r>
        <w:rPr>
          <w:b/>
        </w:rPr>
        <w:t>E. 3.4</w:t>
      </w:r>
    </w:p>
    <w:p>
      <w:r>
        <w:t>En l'espèce, lors de sa première audition par la police du 18 novembre 2020, soit le jour des faits, l'intimée a déposé plainte pénale, a demandé la poursuite et la condamnation de l'auteur (demandeur au pénal) et de participer activement à la suite de la procédure pénale. En revanche, sous la rubrique "</w:t>
      </w:r>
    </w:p>
    <w:p>
      <w:r>
        <w:t>Je demande que l'auteur soit condamné à me payer une somme d'argent en réparation du dommage subi (participation à la procédure comme partie plaignante au civil) ", elle a répondu par la négative.</w:t>
      </w:r>
    </w:p>
    <w:p>
      <w:r>
        <w:t>Si le tort moral peut être considéré comme un droit strictement personnel non susceptible de représentation, il n'en va pas de même pour les droits de nature pécuniaire dont les dommages-intérêts ( ATF 127 IV 193 p. 196; arrêt 5A_844/2009 du 26 février 2010; BSK ZGB I, FANKHAUSER, 7e éd., 2022, n. 2 ad art. 19c CC ; STEINAUER/FOUTOULAKIS, Droit des personnes physiques et de la protection de l'adulte, 2014, n. 211 et 216). Le libellé "</w:t>
      </w:r>
    </w:p>
    <w:p>
      <w:r>
        <w:t>à me payer une somme d'argent en réparation du dommage subi " qui figure au procès-verbal d'audition est équivoque. Il ne permet pas de distinguer le tort moral des dommages-intérêts, de sorte que l'intimée, au vu de sa curatelle et du fait que sa décision allait à l'encontre de la préservation de son patrimoine, n'était pas en mesure de renoncer valablement à ses droits. Cet acte de renonciation n'a jamais été ratifié, au contraire, lors de la première audience par devant le ministère public le 5 mars 2021, représentée par son avocat et rendue attentive à ses droits et devoirs, elle a confirmé vouloir participer à la procédure pénale comme partie plaignante au pénal et au civil. Cette volonté a perduré tout au long de la procédure jusqu'au dépôt de ses conclusions civiles chiffrées, d'entrée de cause, lors des débats par-devant le tribunal correctionnel le 12 novembre 2021. Ce grief doit dès lors être rejeté.</w:t>
      </w:r>
    </w:p>
    <w:p>
      <w:r>
        <w:rPr>
          <w:b/>
        </w:rPr>
        <w:t>E. 4</w:t>
      </w:r>
    </w:p>
    <w:p>
      <w:r>
        <w:t>Le recourant conteste l'indemnité allouée à titre de réparation morale à l'intimée pour un montant de 15'000 fr. mis à sa charge. Il soutient que l'intimée ne présente pas de cicatrices, pas de séquelles physiques permanentes et handicapantes et que, d'un point de vue psychique, si elle a certainement des séquelles, celles-ci ne justifient pas l'étendue de l'indemnisation retenue. L'indemnité doit, selon lui, être réduite à 5'000 francs.</w:t>
      </w:r>
    </w:p>
    <w:p>
      <w:r>
        <w:rPr>
          <w:b/>
        </w:rPr>
        <w:t>E. 4.1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ou d'incapacité de travail, de même que les préjudices psychiques importants (arrêts 6B_746/2022 du 30 mars 2023 consid. 8.1; 6B_1335/2021 du 21 décembre 2022 consid. 2.2.1; 6B_1387/2021 du 29 septembre 2022 consid. 5.1; voir aussi ATF 141 III 97 consid. 11.2; 132 II 117 consid. 2.2.2).</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141 III 97 consid. 11.2; 130 III 699 consid. 5.1). La fixation de l'indemnité pour tort moral est une question d'application du droit fédéral, que le Tribunal fédéral examine donc librement. Toutefois,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143 IV 339 consid. 3.1; 138 III 337 consid. 6.3.1).</w:t>
      </w:r>
    </w:p>
    <w:p>
      <w:r>
        <w:rPr>
          <w:b/>
        </w:rPr>
        <w:t>E. 4.2</w:t>
      </w:r>
    </w:p>
    <w:p>
      <w:r>
        <w:t>La cour cantonale a pris en considération les explications de l'intimée lorsque celle-ci a exposé penser encore régulièrement chaque jour aux faits et souffrir de s'être vue mourir. La cour a indiqué que l'absence de suivi médical, tant au niveau des lésions subies que de sa santé psychique, et sa précarité ne devaient pas suffire à écarter ses déclarations. Elle a ajouté que le fait que l'intimée soit restée dans sa chambre d'hôtel après les faits n'amenait aucun élément pour apprécier la gravité du traumatisme subi.</w:t>
      </w:r>
    </w:p>
    <w:p>
      <w:r>
        <w:rPr>
          <w:b/>
        </w:rPr>
        <w:t>E. 4.3</w:t>
      </w:r>
    </w:p>
    <w:p>
      <w:r>
        <w:t>En tant que, par ses développements, le recourant s'attache essentiellement à relativiser les séquelles physiques subies par l'intimée, de même que son état psychique, il ne démontre pas encore l'arbitraire des constatations de la cour cantonale quant à l'importance de la souffrance vécue par l'intimée qui a violemment été poignardée à plusieurs reprises au niveau du cou, du thorax et du dos. Les considérations sur lesquelles la cour cantonale s'est fondée pour fixer le tort moral ne sont pas critiquables. L'infraction commise au préjudice de l'intimée est très grave. On ne saurait minimiser son impact sur elle du seul fait que l'intimée ne bénéficiait pas d'un suivi et qu'elle serait restée vivre dans la même chambre d'hôtel après les événements. A cet égard, on rappellera qu'il n'est certainement pas aisé pour une personne sans domicile fixe de changer de logement lorsqu'elle s'en voit enfin attribuer un.</w:t>
      </w:r>
    </w:p>
    <w:p>
      <w:r>
        <w:t>Au vu de ce qui précède, il n'apparaît pas que la cour cantonale a violé les art. 47 et 49 CO en estimant que les souffrances de l'intimée avaient été suffisamment importantes pour justifier une indemnité à titre de réparation morale. Le montant de 15'000 fr. alloué n'est pas élevé au point de consacrer un abus du large pouvoir d'appréciation reconnu à la cour cantonale. Le grief, dans la mesure où il est recevable, est ainsi infondé.</w:t>
      </w:r>
    </w:p>
    <w:p>
      <w:r>
        <w:rPr>
          <w:b/>
        </w:rPr>
        <w:t>E. 5</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