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6B_857/2008 vom 29. Oktober 2008</w:t>
      </w:r>
    </w:p>
    <w:p>
      <w:r>
        <w:t>Bundesgericht, 2008-10-29, DE</w:t>
      </w:r>
    </w:p>
    <w:p>
      <w:r>
        <w:rPr>
          <w:b/>
        </w:rPr>
        <w:t xml:space="preserve">Quelle: </w:t>
      </w:r>
      <w:r>
        <w:t>https://mcp.opencaselaw.ch/entscheid/bger_6B_857_2008</w:t>
      </w:r>
    </w:p>
    <w:p>
      <w:r>
        <w:t>FR: TF 6B_857/2008 du 29 octobre 2008</w:t>
      </w:r>
    </w:p>
    <w:p>
      <w:r>
        <w:t>IT: TF 6B_857/2008 del 29 ottobre 2008</w:t>
      </w:r>
    </w:p>
    <w:p>
      <w:pPr>
        <w:pStyle w:val="Heading2"/>
      </w:pPr>
      <w:r>
        <w:t>Erwägungen</w:t>
      </w:r>
    </w:p>
    <w:p>
      <w:r>
        <w:rPr>
          <w:b/>
        </w:rPr>
        <w:t>E. 1</w:t>
      </w:r>
    </w:p>
    <w:p>
      <w:r>
        <w:t>Die beiden vorliegenden Beschwerden erweisen sich als rechtsmissbräuchlich und querulatorisch (Art. 42 Abs. 7 i.V.m. Art. 108 Abs. 1 lit. c BGG ). Sie unterscheiden sich nach ihrer Art in nichts von denjenigen vom 10. Februar 2007 (vgl. Urteil des Bundesgerichts 1B_17/ 2007 vom 7. März 2007), vom 23. November 2007 (vgl. Urteil des Bundesgerichts 1B_265/2007 vom 18. Dezember 2007) und vom 10. Februar 2008 (vgl. Urteil des Bundesgerichts 1F_5/2008 vom 22. Februar 2008). Der Beschwerdeführer ist vollumfänglich auf die Erwägungen dieser Urteile, insbesondere auf jenes vom 7. März 2007, zu verweisen. Im Übrigen ist anzumerken, dass die Vorinstanz dem Beschwerdeführer wegen querulatorischen Verhaltens in Bezug auf die vorliegenden Strafverfahren die Prozessfähigkeit abgesprochen hat.</w:t>
      </w:r>
    </w:p>
    <w:p>
      <w:r>
        <w:rPr>
          <w:b/>
        </w:rPr>
        <w:t>E. 2</w:t>
      </w:r>
    </w:p>
    <w:p>
      <w:r>
        <w:t>Auf die vorliegenden Beschwerden und sämtliche damit verbundenen Gesuche ist im vereinfachten Verfahren nach Art. 108 BGG nicht einzutreten. Diesem Verfahrensausgang entsprechend sind die Gerichtskosten dem Beschwerdeführer aufzuerlegen ( Art. 66 Abs. 1 und 3 BGG ). Die Gesuche um Gewährung der unentgeltlichen Rechtspflege sind wegen Aussichtslosigkeit der Rechtsbegehren abzuweisen ( Art. 64 BGG ).</w:t>
      </w:r>
    </w:p>
    <w:p>
      <w:r>
        <w:rPr>
          <w:b/>
        </w:rPr>
        <w:t>E. 3</w:t>
      </w:r>
    </w:p>
    <w:p>
      <w:r>
        <w:t>Das Bundesgericht behält sich vor, weitere Eingaben in gleicher Angelegenheit oder in einer damit verbundenen Sache, insbesondere auch Revisionsgesuche, in Zukunft ohne förmliche Erledigung zu den Akten zu 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