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6B_856/2010 vom 16. März 2011</w:t>
      </w:r>
    </w:p>
    <w:p>
      <w:r>
        <w:t>Bundesgericht, 2011-03-16, FR</w:t>
      </w:r>
    </w:p>
    <w:p>
      <w:r>
        <w:rPr>
          <w:b/>
        </w:rPr>
        <w:t xml:space="preserve">Quelle: </w:t>
      </w:r>
      <w:r>
        <w:t>https://mcp.opencaselaw.ch/entscheid/bger_6B_856_2010</w:t>
      </w:r>
    </w:p>
    <w:p>
      <w:r>
        <w:t>FR: TF 6B_856/2010 du 16 mars 2011</w:t>
      </w:r>
    </w:p>
    <w:p>
      <w:r>
        <w:t>IT: TF 6B_856/2010 del 16 marzo 2011</w:t>
      </w:r>
    </w:p>
    <w:p>
      <w:pPr>
        <w:pStyle w:val="Heading2"/>
      </w:pPr>
      <w:r>
        <w:t>Erwägungen</w:t>
      </w:r>
    </w:p>
    <w:p>
      <w:r>
        <w:rPr>
          <w:b/>
        </w:rPr>
        <w:t>E. 1</w:t>
      </w:r>
    </w:p>
    <w:p>
      <w:r>
        <w:t>La notion de droit fédéral au sens de l' art. 95 let. a LTF comprend les droits constitutionnels, dont la violation peut donc être invoquée dans un recours ordinaire, notamment dans un recours en matière pénale (cf. art. 78 al. 1 LTF ). Le recours constitutionnel subsidiaire est ainsi exclu (cf. art. 113 LTF ). Partant, le présent recours sera traité comme un recours en matière pénale.</w:t>
      </w:r>
    </w:p>
    <w:p>
      <w:r>
        <w:rPr>
          <w:b/>
        </w:rPr>
        <w:t>E. 2</w:t>
      </w:r>
    </w:p>
    <w:p>
      <w:r>
        <w:t>La décision attaquée, qui seule peut faire l'objet du recours (cf. art. 80 al. 1 LTF ), ne se prononce pas sur le fond, notamment sur la réalisation de l'infraction de lésions corporelles graves par négligence invoquée par le recourant, ni sur le point de savoir si c'est à tort ou à raison que le premier juge a dénié au recourant la qualité pour former opposition à l'ordonnance de condamnation rendue à l'encontre de l'auteur de l'accident. Elle écarte, comme irrecevable, la plainte du recourant fondée sur les art. 166 ss CPP /VS, au motif qu'elle est insuffisamment motivée au regard des exigences du droit cantonal de procédure applicable dans le cas d'espèce. Elle circonscrit ainsi l'objet du présent recours à cette question, qui seule est donc susceptible d'être examinée par le Tribunal fédéral.</w:t>
      </w:r>
    </w:p>
    <w:p>
      <w:r>
        <w:rPr>
          <w:b/>
        </w:rPr>
        <w:t>E. 2.1</w:t>
      </w:r>
    </w:p>
    <w:p>
      <w:r>
        <w:t>Sur le vu de ce qui précède, le recourant est irrecevable à invoquer une violation de l' art. 125 CP , en soutenant que les lésions qu'il a subies devaient être qualifiées de graves au sens de l'alinéa 2 de cette disposition, respectivement de l' art. 122 CP . Il est également irrecevable à se plaindre de ce que le juge d'instruction lui ait refusé la qualité pour former opposition.</w:t>
      </w:r>
    </w:p>
    <w:p>
      <w:r>
        <w:rPr>
          <w:b/>
        </w:rPr>
        <w:t>E. 2.2</w:t>
      </w:r>
    </w:p>
    <w:p>
      <w:r>
        <w:t>Au reste, le recourant ne démontre aucune atteinte à ses droits constitutionnels, d'une manière qui satisfasse aux exigences de motivation de l' art. 106 al. 2 LTF (cf. ATF 133 IV 286 consid. 1.4 p. 287), à raison du défaut de motivation que lui oppose la décision attaquée. Il n'invoque même pas d'application arbitraire du droit cantonal de procédure, sur lequel s'est fondée l'autorité cantonale pour écarter sa plainte. Ses griefs de violation des art. 9 et 29 Cst. , qui ne sont pas étayés de manière distincte, se résument à arguer une fois de plus de la gravité des lésions subies, donc à invoquer derechef un grief, irrecevable, de violation de la loi matérielle. Quant à son grief de violation de l' art. 29a Cst. , qui consacre la garantie de l'accès au juge, il est dépourvu de tout fondement, tant il est manifeste que le recourant a pu, à tous les stades de la procédure, faire examiner sa cause par des autorités judiciaires, la garantie invoquée n'étant à l'évidence pas violée du seul fait qu'un recours est déclaré irrecevable, au demeurant sans qu'il soit d'une quelconque manière démontré que cette irrecevabilité serait inconstitutionnelle.</w:t>
      </w:r>
    </w:p>
    <w:p>
      <w:r>
        <w:rPr>
          <w:b/>
        </w:rPr>
        <w:t>E. 3</w:t>
      </w:r>
    </w:p>
    <w:p>
      <w:r>
        <w:t>Le recours doit ainsi être rejeté, autant qu'il est recevable.</w:t>
      </w:r>
    </w:p>
    <w:p>
      <w:r>
        <w:t>Comme il était d'emblée dénué de chances de succès, l'assistance judiciaire ne peut être accordée (cf. art. 64 al. 1 LTF ). Le recourant devra donc supporter les frais (cf.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