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6B_855/2008 vom 15. Januar 2009</w:t>
      </w:r>
    </w:p>
    <w:p>
      <w:r>
        <w:t>Bundesgericht, 2009-01-15, FR</w:t>
      </w:r>
    </w:p>
    <w:p>
      <w:r>
        <w:rPr>
          <w:b/>
        </w:rPr>
        <w:t xml:space="preserve">Quelle: </w:t>
      </w:r>
      <w:r>
        <w:t>https://mcp.opencaselaw.ch/entscheid/bger_6B_855_2008</w:t>
      </w:r>
    </w:p>
    <w:p>
      <w:r>
        <w:t>FR: TF 6B_855/2008 du 15 janvier 2009</w:t>
      </w:r>
    </w:p>
    <w:p>
      <w:r>
        <w:t>IT: TF 6B_855/2008 del 15 gennaio 2009</w:t>
      </w:r>
    </w:p>
    <w:p>
      <w:pPr>
        <w:pStyle w:val="Heading2"/>
      </w:pPr>
      <w:r>
        <w:t>Erwägungen</w:t>
      </w:r>
    </w:p>
    <w:p>
      <w:r>
        <w:rPr>
          <w:b/>
        </w:rPr>
        <w:t>E. 1</w:t>
      </w:r>
    </w:p>
    <w:p>
      <w:r>
        <w:t>Invoquant une violation des art. 42 et 43 CP , le recourant soutient que les conditions du sursis total sont réunies ou alors que sa peine doit au moins être suspendue pour une durée de 16 mois.</w:t>
      </w:r>
    </w:p>
    <w:p>
      <w:r>
        <w:rPr>
          <w:b/>
        </w:rPr>
        <w:t>E. 1.1</w:t>
      </w:r>
    </w:p>
    <w:p>
      <w:r>
        <w:t>La jurisprudence relative aux dispositions précitées a été rappelée dans l'ATF 6B_719/2007 du 4 mars 2008 qui concerne le recourant et auquel on peut donc se référer.</w:t>
      </w:r>
    </w:p>
    <w:p>
      <w:r>
        <w:rPr>
          <w:b/>
        </w:rPr>
        <w:t>E. 1.2</w:t>
      </w:r>
    </w:p>
    <w:p>
      <w:r>
        <w:t>En affirmant avoir refait sa vie avec une nouvelle compagne et s'être excusé auprès de son ex-épouse, le recourant s'écarte des constatations cantonales sans toutefois invoquer d'arbitraire ni motiver ses critiques conformément aux exigences légales ( art. 42 al. 2 LTF ; ATF 134 II 245 consid. 2). Partant, son argumentation est irrecevable sur ces points.</w:t>
      </w:r>
    </w:p>
    <w:p>
      <w:r>
        <w:rPr>
          <w:b/>
        </w:rPr>
        <w:t>E. 1.3</w:t>
      </w:r>
    </w:p>
    <w:p>
      <w:r>
        <w:t>Certes, le recourant s'est bien comporté depuis la fin de l'année 1999. Il a fait des efforts d'intégration, puisqu'il parle et comprend le français et exerce une activité professionnelle. Reste que, selon les constatations cantonales, les renseignements recueillis sur l'intéressé sont mitigés. Il a des antécédents judiciaires, puisqu'il a déjà été condamné, le 23 avril 1998, à quinze jours d'emprisonnement avec sursis, pour faux dans les certificats et obtention d'une constatation fausse, puis, le 16 avril 1999, à trente jours d'emprisonnement avec sursis, pour escroquerie. Par ailleurs, s'il a exprimé des regrets pour les actes commis à l'encontre de son ex-épouse devant l'autorité, il ne s'est en revanche jamais excusé auprès de sa victime, ni ne lui a offert de compensation financière. Enfin, selon les experts, l'intéressé présente un risque de récidive.</w:t>
      </w:r>
    </w:p>
    <w:p>
      <w:r>
        <w:t>Sur la base des éléments précités, les juges cantonaux n'ont pas violé le droit fédéral en estimant que le pronostic quant au comportement futur du recourant était très incertain et en ne lui octroyant par conséquent qu'un sursis partiel. Ils n'ont pas davantage abusé du large pouvoir d'appréciation qui leur est reconnu dans ce domaine en fixant la peine ferme à huit mois, au regard du pronostic posé et de la gravité des fautes commises telles que décrites sous le considérant A.</w:t>
      </w:r>
    </w:p>
    <w:p>
      <w:r>
        <w:rPr>
          <w:b/>
        </w:rPr>
        <w:t>E. 2</w:t>
      </w:r>
    </w:p>
    <w:p>
      <w:r>
        <w:t>En conclusion, le recours est rejeté dans la mesure où il est recevable. Le recourant, qui succombe, doit supporter les frais ( art. 66 al. 1 LTF ). La demande d'effet suspensif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