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854/2010 vom 5. Mai 2011</w:t>
      </w:r>
    </w:p>
    <w:p>
      <w:r>
        <w:t>Bundesgericht, 2011-05-05, FR</w:t>
      </w:r>
    </w:p>
    <w:p>
      <w:r>
        <w:rPr>
          <w:b/>
        </w:rPr>
        <w:t xml:space="preserve">Quelle: </w:t>
      </w:r>
      <w:r>
        <w:t>https://mcp.opencaselaw.ch/entscheid/bger_6B_854_2010</w:t>
      </w:r>
    </w:p>
    <w:p>
      <w:r>
        <w:t>FR: TF 6B 854/2010 du 5 mai 2011</w:t>
      </w:r>
    </w:p>
    <w:p>
      <w:r>
        <w:t>IT: TF 6B 854/2010 del 5 maggio 2011</w:t>
      </w:r>
    </w:p>
    <w:p>
      <w:pPr>
        <w:pStyle w:val="Heading2"/>
      </w:pPr>
      <w:r>
        <w:t>Regeste</w:t>
      </w:r>
    </w:p>
    <w:p>
      <w:r>
        <w:t>Refus de la libération conditionnelle de la mesure thérapeutique institutionnelle | Droit pénal (en général)</w:t>
      </w:r>
    </w:p>
    <w:p>
      <w:pPr>
        <w:pStyle w:val="Heading2"/>
      </w:pPr>
      <w:r>
        <w:t>Erwägungen</w:t>
      </w:r>
    </w:p>
    <w:p>
      <w:r>
        <w:rPr>
          <w:b/>
        </w:rPr>
        <w:t>E. 1</w:t>
      </w:r>
    </w:p>
    <w:p>
      <w:r>
        <w:t>Le recourant invoque une violation des art. 59, 62, 62c et 62d CP.</w:t>
      </w:r>
    </w:p>
    <w:p>
      <w:r>
        <w:rPr>
          <w:b/>
        </w:rPr>
        <w:t>E. 1.1</w:t>
      </w:r>
    </w:p>
    <w:p>
      <w:r>
        <w:t>Aux termes de l' art. 62d al. 1 CP ,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 ATF 128 IV 241 consid. 3.2 p. 247 s.),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(arrêt 6B_714/2009 du 19 novembre 2009 consid. 1.1 et les réf. citées).</w:t>
      </w:r>
    </w:p>
    <w:p>
      <w:r>
        <w:rPr>
          <w:b/>
        </w:rPr>
        <w:t>E. 1.2</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6B_714/2009 du 19 novembre 2009 consid. 1.2 et les réf. citées), étant rappelé que s'agissant de la décision sur le pronostic, le principe "in dubio pro reo" n'est pas applicable ( ATF 127 IV 1 consid. 2a p. 4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et les arrêts cités). Le pronostic doit également tenir compte de la durée de la privation de liberté déjà subie par l'auteur (en ce sens: ROBERT ROTH / VANESSA THALMANN, Commentaire romand, Code pénal I, 2009, n° 26 ad art. 62 CP ).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 MARIANNE HEER, Basler Kommentar, Strafrecht I, 2e éd. 2007, n° 13 ad art. 64a CP ). Il est ainsi manifeste que, dans la pesée des intérêts opérée par le législateur, le droit à la liberté personnelle d'un auteur qui présente une dangerosité susceptible de justifier un internement ne l'emporte jamais sur l'intérêt public à la sécurité des personnes.</w:t>
      </w:r>
    </w:p>
    <w:p>
      <w:r>
        <w:rPr>
          <w:b/>
        </w:rPr>
        <w:t>E. 1.3</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 art. 64 CP .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 Mais, lorsqu'il n'y a plus lieu de s'attendre à une amélioration de l'état de l'auteur, l'autorité compétente doit lever la mesure, en prenant au besoin une ou plusieurs des dispositions prévues à l'art. 62c al. 3 à 6 CP.</w:t>
      </w:r>
    </w:p>
    <w:p>
      <w:r>
        <w:rPr>
          <w:b/>
        </w:rPr>
        <w:t>E. 1.4</w:t>
      </w:r>
    </w:p>
    <w:p>
      <w:r>
        <w:t>L' 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 ATF 135 IV 139 consid. 2.1 p. 141). Dans ce cadre, elle ne connaît pas de limite maximale. Cette prolongation est indiquée lors de traitements selon l' art. 59 al. 3 CP . Cette possibilité existe parce que les mesures thérapeutiques appliquées à des malades mentaux chroniques n'agissent souvent que très lentement ( ATF 134 IV 315 consid. 3.4.1 p. 321 s. et réf. citées).</w:t>
      </w:r>
    </w:p>
    <w:p>
      <w:r>
        <w:rPr>
          <w:b/>
        </w:rPr>
        <w:t>E. 2</w:t>
      </w:r>
    </w:p>
    <w:p>
      <w:r>
        <w:t>Le recourant conteste l'appréciation du risque de récidive par la cour de cassation pénale au regard des infractions qu'il a commises qu'il qualifie de délits mineurs et fait valoir que le risque de passage à l'acte est faible. Il conteste mettre gravement en danger l'ordre ou la sécurité publics.</w:t>
      </w:r>
    </w:p>
    <w:p>
      <w:r>
        <w:rPr>
          <w:b/>
        </w:rPr>
        <w:t>E. 2.1</w:t>
      </w:r>
    </w:p>
    <w:p>
      <w:r>
        <w:t>Pour la cour de cassation pénale, même si la gravité des infractions à l'origine de la mesure n'est pas particulièrement significative, le pronostic de la mesure selon l' art. 62 al. 1 CP doit être examiné de manière rigoureuse au regard de la dangerosité de l'intéressé relevée par les experts, dangerosité qui s'est manifestée en particulier quand le recourant a bouté le feu à deux reprises à son lit. Se fondant sur les avis médicaux unanimes, la cour cantonale retient que le recourant est atteint d'une pathologie psychiatrique majeure, ancienne, au traitement long et aléatoire, dont il ne parvient pas à surmonter les effets. En raison notamment de troubles délirants et de l'impulsivité occasionnée par cette double pathologie, il présente un danger pour la sécurité publique au vu du risque de réitération mis en évidence par les experts, ce danger excédant de beaucoup la gravité intrinsèque des infractions. En conséquence, aucun pronostic favorable quant au comportement futur de l'intéressé ne peut être posé en l'état.</w:t>
      </w:r>
    </w:p>
    <w:p>
      <w:r>
        <w:rPr>
          <w:b/>
        </w:rPr>
        <w:t>E. 2.2</w:t>
      </w:r>
    </w:p>
    <w:p>
      <w:r>
        <w:t>Il est constant que le recourant souffre d'un grave trouble mental chronique qui peut le conduire à adopter des comportements dangereux, respectivement menaçants ou violents pour autrui. Cette dangerosité résulte de l'association, d'une part, d'une schizophrénie paranoïde (impliquant une vulnérabilité au stress considérable selon l'expertise du 20 décembre 2004) et, d'autre part, d'un syndrome de dépendance à des substances psychoactives multiples (réponse au stress selon la même expertise), soit une grave désorganisation psychique associée à une compulsion. La pathologie mentale est jugée grave. Le constat selon lequel l'intéressé présente un danger pour la sécurité publique qui va au-delà de la gravité des infractions qu'il a commises, est conforté par les nombreuses agressions qu'il a perpétrées sur des surveillants ainsi que par l'usage du feu à deux reprises depuis son arrivée à l'unité psychiatrique des EPO le 23 mars 2010. Les expertises des 20 décembre 2004 et 22 janvier 2010 mentionnent expressément un risque de réitération significatif à défaut de tout traitement institutionnel et en cas de consommation de substances psychoactives. L'appréciation par les experts de 2004 de ce risque d'hétéro-agressivité, majoré en cas de rechute toxicomaniaque, déjà retenu par le Tribunal fédéral dans l'arrêt précédent (6B_241/2008 consid. 3.1.1) n'a pas été évaluée différemment dans l'expertise du 22 janvier 2010. Il a été relativisé par les seconds experts, uniquement dans le contexte d'un élargissement dans le cadre carcéral et à la condition que l'adhésion du recourant au traitement perdure. Ces conclusions ont été suivies, puisque l'intéressé a pu sortir d'isolement cellulaire le 23 mars 2010 et être transféré à l'Unité de psychiatrie des EPO. Au vu de ces éléments, l'appréciation de la cour cantonale quant à la dangerosité et au risque de récidive qui fondent un pronostic défavorable à une libération conditionnelle ne souffre aucune critique.</w:t>
      </w:r>
    </w:p>
    <w:p>
      <w:r>
        <w:rPr>
          <w:b/>
        </w:rPr>
        <w:t>E. 3</w:t>
      </w:r>
    </w:p>
    <w:p>
      <w:r>
        <w:t>Le recourant soutient que la mesure thérapeutique institutionnelle n'est pas susceptible d'améliorer son état. La prolongation du maintien en milieu carcéral après plusieurs années violerait le droit fédéral. Par son grief, il s'en prend à la proportionnalité de la mesure.</w:t>
      </w:r>
    </w:p>
    <w:p>
      <w:r>
        <w:rPr>
          <w:b/>
        </w:rPr>
        <w:t>E. 3.1</w:t>
      </w:r>
    </w:p>
    <w:p>
      <w:r>
        <w:t>Pour la cour cantonale, seule une mesure thérapeutique institutionnelle en milieu carcéral permet d'assurer l'adhésion du condamné au traitement et de le soigner en le mettant, lui et autrui, à l'abri de la dangerosité découlant de sa pathologie, qui présente un caractère persistant, même si ses manifestations varient en intensité au fil du temps. Si quelques progrès ont pu être obtenus en matière d'alliance thérapeutique, c'est précisément du fait de la contrainte que seul un cadre institutionnel fermé peut apporter. Les experts ont attribué l'absence de progrès de l'expertisé sur le plan thérapeutique non seulement à la gravité du trouble qui l'affecte, mais aussi au manque de continuité dans la prise en charge médicamenteuse du fait de son absence de collaboration et/ou de son adhésion partielle au traitement. Bien qu'ils évoquent le caractère extrêmement aléatoire d'un succès thérapeutique, ils ne l'excluent pas pour autant et préconisent à long terme une thérapie multidimensionnelle avec des mesures d'élargissement progressives. Le dernier rapport du SMPP du 5 juillet 2010 conclut, de manière générale, à une bonne alliance thérapeutique depuis que le recourant a rejoint l'unité de psychiatrie, même si elle peut être mise à mal lorsque les idées délirantes envahissent les relations interpersonnelles. Au vu de ces constatations, que le recourant ne discute pas ( art. 105 al. 1 LTF ), et compte tenu de la large portée qu'il faut attribuer à la notion de traitement médical (consid. 1.3) ainsi que des quelques progrès avérés accomplis par le recourant depuis le mois de mars 2010, le moyen tiré de l'absence de toute chance de succès de la mesure thérapeutique institutionnelle est infondé.</w:t>
      </w:r>
    </w:p>
    <w:p>
      <w:r>
        <w:rPr>
          <w:b/>
        </w:rPr>
        <w:t>E. 3.2</w:t>
      </w:r>
    </w:p>
    <w:p>
      <w:r>
        <w:t>Au regard de la durée et de l'intensité de la mesure, la cour cantonale relève que le recourant a, depuis sa récente adhésion au traitement, bénéficié d'un allègement de régime, soit d'un passage de régime cellulaire à celui de l'unité de psychiatrie des EPO, en date du 23 mars 2010. Comme l'a relevé l'autorité cantonale, l'atteinte à la liberté personnelle imposée par la mesure a été modifiée en fonction de la situation et ne dépasse pas ce qui est strictement nécessaire à la thérapie. Le temps écoulé depuis le prononcé de la mesure ordonnée en 2005 ne suffit pas à lui seul pour retenir qu'elle serait disproportionnée. Un traitement institutionnel dure en principe jusqu'à ce que son but soit atteint, si sa poursuite ne paraît pas vouée à l'échec. En l'espèce, il a été retenu que le recourant n'est pas inaccessible au traitement. Le succès thérapeutique impose, selon les experts, un encadrement médical adéquat. Selon eux, il serait prématuré d'envisager de mettre fin au placement carcéral, une telle décision ne pouvant intervenir qu'en cas de résultats positifs dans le cadre des premières mesures d'élargissement envisagées. Dans ce cas, un placement dans une institution médico-sociale cadrante à visée réhabilitative serait nécessaire pour une bonne évolution à long terme. Il en résulte que l'amélioration de l'état de santé du recourant, compte tenu de sa pathologie, ne peut être obtenu que par un traitement de longue haleine qui comporte des paliers progressifs d'élargissement. Les traitements sur une longue durée sont propres au type de pathologie dont souffre le recourant (consid. 1.4) et c'est au regard de ces considérations que la loi n'a pas fixé de limite maximale au renouvellement des traitements institutionnels. Compte tenu de la dangerosité que le recourant présente pour autrui (consid. 2.1), des perspectives de stabilisation et d'amélioration de son état de santé, la gravité de l'atteinte aux droits de sa personnalité qu'implique la poursuite du traitement institutionnel depuis près de huit ans n'apparaît pas disproportionnée par rapport à l'intérêt public à la prévention de futures infractions.</w:t>
      </w:r>
    </w:p>
    <w:p>
      <w:r>
        <w:rPr>
          <w:b/>
        </w:rPr>
        <w:t>E. 4</w:t>
      </w:r>
    </w:p>
    <w:p>
      <w:r>
        <w:t>Au terme de son recours, le recourant fait valoir que sa détention est tout au moins contraire aux art. 3 et 5 CEDH . Il affirme être soumis à des traitements inhumains et dégradants. Une peine de huit ans de privation de liberté pour les actes qui lui sont reprochés serait contraire à l' art. 5 CEDH . Ce faisant, il ne formule pas réellement d'autres griefs que ceux qui ont déjà été examinés aux considérants précédents. Il ne les motive en tout cas pas par une argumentation distincte. Dès lors, soit ces griefs se confondent en définitive avec ceux déjà examinés, de sorte qu'il n'y a pas lieu d'y revenir, soit ils ne sont aucunement motivés et, partant, irrecevables ( art. 106 al. 2 LTF ).</w:t>
      </w:r>
    </w:p>
    <w:p>
      <w:r>
        <w:rPr>
          <w:b/>
        </w:rPr>
        <w:t>E. 5</w:t>
      </w:r>
    </w:p>
    <w:p>
      <w:r>
        <w:t>Le recours doit ainsi être rejeté dans la mesure où il est recevable. Comme les conclusions de celui-ci étaient d'emblée vouées à l'échec, l'assistance judiciaire ne peut pas être accordée ( art. 64 al. 1 LTF ). Le recourant devra donc supporter les frais judiciaires, dont le montant sera toutefois arrêté au regard de sa situation économique ( art. 65 al. 2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