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851/2023 vom 7. August 2023</w:t>
      </w:r>
    </w:p>
    <w:p>
      <w:r>
        <w:t>Bundesgericht, 2023-08-07, DE</w:t>
      </w:r>
    </w:p>
    <w:p>
      <w:r>
        <w:rPr>
          <w:b/>
        </w:rPr>
        <w:t xml:space="preserve">Quelle: </w:t>
      </w:r>
      <w:r>
        <w:t>https://mcp.opencaselaw.ch/entscheid/bger_6B_851_2023</w:t>
      </w:r>
    </w:p>
    <w:p>
      <w:r>
        <w:t>FR: TF 6B 851/2023 du 7 août 2023</w:t>
      </w:r>
    </w:p>
    <w:p>
      <w:r>
        <w:t>IT: TF 6B 851/2023 del 7 agosto 2023</w:t>
      </w:r>
    </w:p>
    <w:p>
      <w:pPr>
        <w:pStyle w:val="Heading2"/>
      </w:pPr>
      <w:r>
        <w:t>Regeste</w:t>
      </w:r>
    </w:p>
    <w:p>
      <w:r>
        <w:t>Gewerbsmässiger Betrug; faires Verfahren, rechtliches Gehör; Nichteintreten | Straftaten</w:t>
      </w:r>
    </w:p>
    <w:p>
      <w:pPr>
        <w:pStyle w:val="Heading2"/>
      </w:pPr>
      <w:r>
        <w:t>Erwägungen</w:t>
      </w:r>
    </w:p>
    <w:p>
      <w:r>
        <w:rPr>
          <w:b/>
        </w:rPr>
        <w:t>E. 1</w:t>
      </w:r>
    </w:p>
    <w:p>
      <w:r>
        <w:t>Das Obergericht des Kantons Zürich sprach den Beschwerdeführer mit Urteil vom 2. Februar 2023 vom Vorwurf der mehrfachen Urkundenfälschung frei. Es verurteilte ihn wegen gewerbsmässigen Betrugs zu einer Freiheitsstrafe von 4 Jahren und 8 Monaten (unter Anrechnung der Untersuchungshaft von 192 Tagen) und zu einer bedingten Geldstrafe von 90 Tagessätzen zu Fr. 30.--. Es regelte zudem den Zivilpunkt sowie die Kosten- und Entschädigungsfolgen. Der Beschwerdeführer wendet sich an das Bundesgericht.</w:t>
      </w:r>
    </w:p>
    <w:p>
      <w:r>
        <w:rPr>
          <w:b/>
        </w:rPr>
        <w:t>E. 2</w:t>
      </w:r>
    </w:p>
    <w:p>
      <w:r>
        <w:t>Die als "Berufung" bezeichnete Eingabe ist als Beschwerde in Strafsachen gemäss Art. 78 ff. BGG entgegenzunehmen und zu behandeln.</w:t>
      </w:r>
    </w:p>
    <w:p>
      <w:r>
        <w:rPr>
          <w:b/>
        </w:rPr>
        <w:t>E. 3</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 Beschwerde genügt nicht den gesetzlichen Begründungsanforderungen. Der Beschwerdeführer beanstandet vor Bundesgericht seine Verurteilung und rügt in diesem Zusammenhang, sein Recht auf ein faires Verfahren, auf rechtliches Gehör und auf Gleichbehandlung sei ebenso wie das Verhältnismässigkeitsprinzip und das Diskriminierungsverbot verletzt worden. Die beanstandeten Verletzungen begründet der Beschwerdeführer in der Folge allerdings nicht, sondern belässt es dabei, der Vorinstanz vorzuwerfen, "nicht alle relevanten Beweise und Unterlagen" gewürdigt bzw. "wesentliche Beweise und Argumente der Verteidigung" nicht ausreichend berücksichtigt, sich auf "unzulässige Vorurteile oder willkürliche Annahmen" gestützt und eine Strafe ausgefällt zu haben, die in keinem angemessenen Verhältnis zur Schwere der vorgeworfenen Straftat stehe. Welche relevanten Beweise, Unterlagen oder Argumente die Vorinstanz zu Unrecht nicht berücksichtigt bzw. auf welche Vorurteile und willkürliche Annahmen sie sich bundesrechtsverletzend gestützt haben könnte, zeigt er aber nicht im Ansatz auf; ebenso wenig, weshalb die Strafe unangemessen hoch sein soll. Damit erschöpfen sich seine Ausführungen in einer pauschalen und rein appellatorischen Kritik am angefochtenen Urteil, die unzulässig ist. Eine Auseinandersetzung mit den Erwägungen der Vorinstanz fehlt vollständig. Weshalb und inwiefern das vorinstanzliche Urteil willkürlich oder sonstwie bundesrechtswidrig sein könnte, lässt sich der Beschwerdeeingabe folglich nicht entnehmen. Der Begründungsmangel ist evident. Auf die Beschwerde ist im Verfahren nach Art. 108 BGG mangels einer tauglichen Begründung nicht einzutreten.</w:t>
      </w:r>
    </w:p>
    <w:p>
      <w:r>
        <w:rPr>
          <w:b/>
        </w:rPr>
        <w:t>E. 5</w:t>
      </w:r>
    </w:p>
    <w:p>
      <w:r>
        <w:t>Ausnahmsweise ist von einer Kostenauflage abzusehen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