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6B_850/2015 vom 8. Oktober 2015</w:t>
      </w:r>
    </w:p>
    <w:p>
      <w:r>
        <w:t>Bundesgericht, 2015-10-08, DE</w:t>
      </w:r>
    </w:p>
    <w:p>
      <w:r>
        <w:rPr>
          <w:b/>
        </w:rPr>
        <w:t xml:space="preserve">Quelle: </w:t>
      </w:r>
      <w:r>
        <w:t>https://mcp.opencaselaw.ch/entscheid/bger_6B_850_2015</w:t>
      </w:r>
    </w:p>
    <w:p>
      <w:r>
        <w:t>FR: TF 6B_850/2015 du 8 octobre 2015</w:t>
      </w:r>
    </w:p>
    <w:p>
      <w:r>
        <w:t>IT: TF 6B_850/2015 del 8 ottobre 2015</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113 Ia 390 E. 1; je mit Hinweisen). Diese Voraussetzungen sind erfüllt. Es rechtfertigt sich daher, die Verfahren 6B_850/2015 und 6B_942/2015 zu vereinigen.</w:t>
      </w:r>
    </w:p>
    <w:p>
      <w:r>
        <w:rPr>
          <w:b/>
        </w:rPr>
        <w:t>E. 2</w:t>
      </w:r>
    </w:p>
    <w:p>
      <w:r>
        <w:t>Gegen die Verfügung der Vorinstanz vom 16. September 2015 betreffend Entlassung aus der Sicherheitshaft ist die Beschwerde in Strafsachen zulässig (Art. 78 Abs. 1 i.V.m. Art. 80 Abs. 1 BGG ). Es handelt sich um einen Zwischenentscheid, der einen nicht wieder gutzumachenden Nachteil im Sinne von Art. 93 Abs. 1 lit. a BGG bewirken kann ( BGE 138 IV 92 E. 1.2 S. 94 f. mit Hinweis). Die Oberstaatsanwaltschaft ist gemäss Art. 81 Abs. 1 lit. a und b Ziff. 3 BGG zur Beschwerde befugt. Die Beschwerde einschliesslich Gesuch um aufschiebende Wirkung wurde fristgerecht eingereicht. Die weiteren Sachurteilsvoraussetzungen geben zu keinen Bemerkungen Anlass. Auf die Beschwerde im Verfahren 6B_942/2015 ist einzutreten.</w:t>
      </w:r>
    </w:p>
    <w:p>
      <w:r>
        <w:rPr>
          <w:b/>
        </w:rPr>
        <w:t>E. 3</w:t>
      </w:r>
    </w:p>
    <w:p>
      <w:r>
        <w:t>Im zu beurteilenden Fall geht es um die Frage der Zulässigkeit der Sicherheitshaft während des vor Vorinstanz hängigen Verfahrens betreffend nachträgliche Änderung der Sanktion nach Art. 65 Abs. 1 StGB i.V.m. Art. 363 ff. StPO .</w:t>
      </w:r>
    </w:p>
    <w:p>
      <w:r>
        <w:t>Gemäss Art. 221 Abs. 1 lit. c StPO ist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Art. 221 Abs. 1 lit. c StPO ist entgegen dem deutschsprachigen Gesetzeswortlaut dahin auszulegen, dass "Verbrechen oder schwere Vergehen" drohen müssen ( BGE 137 IV 84 E. 3.2 S. 85 f.). Nach der Rechtsprechung ist Sicherheitshaft wegen Wiederholungsgefahr zulässig,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135 I 71 E. 2.3 S. 73 mit Hinweisen). Art. 221 Abs. 1 lit. c StPO setzt somit die ernsthafte Befürchtung voraus, dass die beschuldigte Person durch Delikte bestimmter Schwere die Sicherheit anderer erheblich gefährdet, nachdem sie bereits früher gleichartige Straftaten verübt hat (vgl. BGE 137 IV 84 E. 3.2 S. 85 f. ; 135 I 71 E. 2.2 S. 72 mit Hinweisen). Der Haftgrund der Wiederholungsgefahr ist restriktiv zu handhaben ( BGE 135 I 71 E. 2.3, 2.6 und 2.11 S. 73 ff.).</w:t>
      </w:r>
    </w:p>
    <w:p>
      <w:r>
        <w:t>Wird die Sicherheitshaft im Verfahren betreffend nachträgliche Änderung der Sanktion angeordnet, so entfällt die Prüfung des dringenden Tatverdachts, da eine rechtskräftige Verurteilung bereits vorliegt. Hingegen bedarf es für die Anordnung und die Weiterführung von Sicherheitshaft einer hinreichenden Wahrscheinlichkeit, dass das Verfahren zu einer Massnahme führt, welche die Sicherstellung des Betroffenen erfordert ( BGE 137 IV 333 E. 2.3.1 S. 337).</w:t>
      </w:r>
    </w:p>
    <w:p>
      <w:r>
        <w:t>Zu prüfen ist folglich, ob ein besonderer Haftgrund vorliegt und ob die Anordnung einer stationären Massnahme als wahrscheinlich erscheint.</w:t>
      </w:r>
    </w:p>
    <w:p>
      <w:r>
        <w:rPr>
          <w:b/>
        </w:rPr>
        <w:t>E. 4.1</w:t>
      </w:r>
    </w:p>
    <w:p>
      <w:r>
        <w:t>Der Beschwerdegegner wurde in den Jahren 2007 bis 2013 diverse Male verurteilt (vgl. kantonale Akten, act. 216 ff). Seine Vortaten umfassen im Wesentlichen neben Diebstahl, Hausfriedensbruch und Sachbeschädigung auch Drohung sowie einfache und versuchte schwere Körperverletzung. Der Beschwerdegegner hat mehrfach, teilweise ohne erkennbaren äusseren Anlass, ihm unbekannte Personen aggressiv angegangen. Ein Angriff, in dessen Rahmen der Beschwerdegegner mit einem Holzstock unter Todesdrohungen auf unbeteiligte Opfer losgegangen ist, konnte (nur) durch einen anwesenden Polizeibeamten gestoppt werden (kantonale Akten, Auszug aus dem Urteil des Bezirksgerichts Lenzburg vom 15. August 2013, S. 258). Das Vortatenerfordernis ist unter diesen Umständen erfüllt.</w:t>
      </w:r>
    </w:p>
    <w:p>
      <w:r>
        <w:rPr>
          <w:b/>
        </w:rPr>
        <w:t>E. 4.2</w:t>
      </w:r>
    </w:p>
    <w:p>
      <w:r>
        <w:t>Zu prüfen bleibt, ob insofern eine Rückfallgefahr besteht. Dabei kommt es im vorliegenden Zusammenhang einzig darauf an, ob vom Beschwerdegegner weitere (qualifizierte) Körperverletzungsdelikte oder gleichartige Straftaten drohen. Nach dem Gutachten der Psychiatrischen Dienste Aargau (PDAG) vom 25. Juni 2015 kann gewalttätiges Verhalten beim Beschwerdegegner ohne Warnsignal auftreten, eruptiv und unvermittelt. Bei Entlassung in die Freiheit sei von einer sehr hohen Rückfallgefahr auszugehen. Bewege er sich in der Öffentlichkeit, so könne jede zufällig sich in der Nähe befindliche Person Opfer seiner Übergriffe werden, sei es auf der Strasse, im Zug oder in einem Einkaufszentrum. Sollte er "zufällig" in den Besitz von Waffen gelangen, könnte die von ihm ausgehende Gefahr auch schwerwiegend werden. Aufgrund der dissozialen Persönlichkeitsstörung des Beschwerdegegners, seiner damit einhergehenden Persönlichkeitsmerkmale, inkl. der Neigung zu dysfunktionalem, "gefährlichem" Alkohol- und Drogenkonsum, sowie der aktenkundigen Tat- und Lebensumstände sei ernsthaft zu erwarten, dass der Beschwerdegegner erneut schwere Gewaltdelikte "gegen Leib und Leben" anderer Personen begehen werde (kantonale Akten, Gutachten der PDAG vom 25. Juni 2015, S. 35 ff., S. 81 f., S. 85, S. 87).</w:t>
      </w:r>
    </w:p>
    <w:p>
      <w:r>
        <w:rPr>
          <w:b/>
        </w:rPr>
        <w:t>E. 4.3</w:t>
      </w:r>
    </w:p>
    <w:p>
      <w:r>
        <w:t>Das Gutachten geht damit insgesamt von einer sehr ungünstigen Rückfallprognose aus. Es stellt eine sehr hohe Rückfallgefahr für Gewaltdelikte fest. Der Beschwerdegegner wendet dagegen jedenfalls nichts Substanzielles ein. Schwere Körperverletzung im Sinne von Art. 122 StGB stellt ein Verbrechen dar; einfache Körperverletzung im Sinne von Art. 123 StGB kann ein schweres Vergehen darstellen (vgl. Urteil 1B_48/2015 vom 3. März 2015 E. 4.4.1 mit weiteren Hinweisen). Bei Gewaltdelikten stehen Leib und Leben, somit die höchsten Rechtsgüter, auf dem Spiel. Insoweit darf das Gericht an die Annahme von Wiederholungsgefahr keinen allzu strengen Massstab anlegen. Andernfalls setzte es mögliche Opfer einer nicht verantwortbaren Gefahr aus (vgl. BGE 123 I 268 E. 2e S. 271; Urteil 1B_146/2013 vom 3. Mai 2013 E. 3.2). Die Wiederholungsgefahr im Sinne von Art. 221 Abs. 1 lit. c StPO ist damit erstellt.</w:t>
      </w:r>
    </w:p>
    <w:p>
      <w:r>
        <w:rPr>
          <w:b/>
        </w:rPr>
        <w:t>E. 4.4</w:t>
      </w:r>
    </w:p>
    <w:p>
      <w:r>
        <w:t>Dass das Gutachten der PDAG vom 25. Juni 2015 dem Beschwerdegegner eine sehr hohe Rückfallgefahr für die Begehung weiterer Gewaltdelikte zuschreibt, stellt auch die Vorinstanz fest. Dies und der Umstand, dass es im Strafvollzug zu Regelverstössen gekommen sei, vermag nach ihrer Auffassung die nachträgliche Anordnung einer Massnahme allerdings nicht zu rechtfertigen. So sei bereits zweifelhaft, ob nach vollzogener Strafe eine stationäre Massnahme zulässig sei und auf welche rechtliche Grundlage sich diese abstützen könnte. Die nachträgliche Anordnung der Massnahme erscheine daher nicht als naheliegend, sondern nur als vage Möglichkeit (Entscheid, S. 4). Die Sichtweise der Vorinstanz greift zu kurz. Das Gesetz sieht die Möglichkeit der nachträglichen Anordnung einer stationären Massnahme in Art. 65 Abs. 1 StGB ausdrücklich vor. Das Gericht kann danach eine solche Massnahme nachträglich anordnen, wenn bei einem Verurteilten vor oder während des Vollzugs einer Freiheitsstrafe die entsprechenden Massnahmenvoraussetzungen gegeben sind. Ausgehend hievon und in Anbetracht dessen, dass das Gutachten dem Beschwerdegegner eine schwere psychische Störung diagnostiziert und es von einer sehr hohen Rückfallgefahr für Gewaltdelikte ausgeht, kann nicht gesagt werden, die nachträgliche Anordnung einer stationären therapeutischen Massnahme sei zum vornherein ausgeschlossen. Damit ist das Erfordernis der hinreichenden Wahrscheinlichkeit in Bezug auf die Massnahmenanordnung im Sinne der bundesgerichtlichen Rechtsprechung gegeben (vorstehend E. 3). Ob die Voraussetzungen für eine Änderung der Sanktion nach Art. 65 Abs. 1 StGB vorliegen und ein solcher Wechsel von einer reinen Strafe zur Massnahme mit übergeordnetem Recht - unter Berücksichtigung auch des Umstands, dass das Urteil vom 15. August 2013 im abgekürzten Verfahren erging - überhaupt vereinbar ist, ist nicht im Haftprüfungsverfahren zu beurteilen, sondern im Verfahren betreffend die nachträgliche Änderung der Sanktion nach Art. 65 Abs. 1 StGB i.V.m. Art. 363 ff. StPO . Das Bundesgericht hat sich hierzu noch nie abschliessend geäussert.</w:t>
      </w:r>
    </w:p>
    <w:p>
      <w:r>
        <w:rPr>
          <w:b/>
        </w:rPr>
        <w:t>E. 4.5</w:t>
      </w:r>
    </w:p>
    <w:p>
      <w:r>
        <w:t>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vgl. BGE 140 IV 74 E. 2.2 S. 78). Das Absehen von sichernden Massnahmen wäre vorliegend angesichts der gutachterlich festgestellten hohen Wahrscheinlichkeit für die Begehung von Gewalttaten gegen Leib und Leben mit erheblichen konkreten Risiken für die öffentliche Sicherheit verbunden. Eine mildere Massnahme im Sinne von Art. 237 StPO , die denselben Zweck wie die Haft erfüllen könnte, ist nicht ersichtlich. Der Beschwerdegegner bringt vor, dass eine Gefährdungsmeldung an die zuständige Erwachsenenschutzbehörde erfolgte. Allfällig angezeigte zivilrechtliche Massnahmen würden demnach ohne Verzug eingeleitet. Die strafprozessuale Haft dürfe nicht zur Sicherung von Erwachsenenschutzmassnahmen angeordnet werden. Damit macht er sinngemäss geltend, seine (angebliche) Rückfallgefahr würde mit den (milderen) Mitteln des Erwachsenenschutzes, soweit notwendig, genügend gedämmt. Sein Vorbringen ist unbehelflich (vgl. in diesem Zusammenhang auch BGE 92 IV 77 E. 3 S. 80). Angesichts der von ihm ausgehenden Rückfallgefahr ist nicht ersichtlich, welche weniger weit gehende zivilrechtliche Massnahme vorliegend zielführend sein könnte. Eine allfällige Umwandlung der Sicherheitshaft in eine fürsorgerische Unterbringung würde für den Beschwerdegegner im Übrigen nicht viel ändern. Wohl entsprechen die Sicherheitsvorkehren in Therapieanstalten im Allgemeinen nicht denjenigen in Haftanstalten. Ist aber eine bedingungslose Entlassung des Beschwerdegegners zurzeit nicht zu verantworten und fällt damit allenfalls nur eine Änderung des Haftregimes von der strafprozessualen Sicherheitshaft in eine ebenfalls freiheitsentziehende zivilrechtliche fürsorgerische Unterbringung in Betracht, so erscheint in dieser speziellen Konstellation die Aufrechterhaltung der Sicherheitshaft für die Dauer des Verfahrens nicht als unverhältnismässig (vgl. zum Ganzen 1B_77/2014 vom 17. März 2014 E. 2.3).</w:t>
      </w:r>
    </w:p>
    <w:p>
      <w:r>
        <w:rPr>
          <w:b/>
        </w:rPr>
        <w:t>E. 5</w:t>
      </w:r>
    </w:p>
    <w:p>
      <w:r>
        <w:t>Die Voraussetzungen der Anordnung und Weiterführung von Sicherheitshaft sind damit zusammenfassend erfüllt. Die Beschwerde der Oberstaatsanwaltschaft im Verfahren 6B_942/2015 ist gutzuheissen, die Verfügung der Vorinstanz vom 16. September 2015 aufzuheben und die Angelegenheit zur neuen Entscheidung an die Vorinstanz zurückzuweisen. Der obsiegenden Beschwerdeführerin ist keine Entschädigung auszurichten. Der Beschwerdegegner würde als unterliegende Partei grundsätzlich kostenpflichtig (Art. 66 Abs. 1 Satz BGG). Sein Gesuch um unentgeltliche Rechtspflege und Rechtsverbeiständung kann bewilligt werden ( Art. 64 Abs. 1 BGG ). Damit sind keine Kosten zu erheben und ist sein Vertreter aus der Bundesgerichtskasse angemessen zu entschädigen.</w:t>
      </w:r>
    </w:p>
    <w:p>
      <w:r>
        <w:t>Mit dem Entscheid in der Sache ist das Gesuch um aufschiebende Wirkung gegenstandslos geworden. Ebenfalls gegenstandslos geworden ist die Beschwerde im Verfahren 6B_850/2015, mit welchem sich der Beschwerdeführer gegen die durch das Obergericht am 3. August 2015 bestätigte Anordnung von Sicherheitshaft durch das Zwangsmassnahmengericht wendet. Dieser Entscheid ist mit dem Entscheid des Bezirksgerichts vom 10. September 2015 in der Sache ( Art. 231 Abs. 2 StPO analog), jedenfalls aber mit dem bundesgerichtlichen Entscheid, hinfällig geworden. Es sind insoweit weder Gerichtskosten zu erheben noch Entschädigungen zuzusprechen, zumal sich in beiden Verfahren die gleichen Fragen stellten.</w:t>
      </w:r>
    </w:p>
    <w:p>
      <w:r>
        <w:t>Das weitere Verfahren ist unter Beachtung des Beschleunigungsgebots ( Art. 5 Ziff. 4 EMRK , Art. 31 Abs. 3 BV , Art. 5 Abs. 2 StPO ) zügig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