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849/2011 vom 6. Juli 2012</w:t>
      </w:r>
    </w:p>
    <w:p>
      <w:r>
        <w:t>Bundesgericht, 2012-07-06, DE</w:t>
      </w:r>
    </w:p>
    <w:p>
      <w:r>
        <w:rPr>
          <w:b/>
        </w:rPr>
        <w:t xml:space="preserve">Quelle: </w:t>
      </w:r>
      <w:r>
        <w:t>https://mcp.opencaselaw.ch/entscheid/bger_6B_849_2011</w:t>
      </w:r>
    </w:p>
    <w:p>
      <w:r>
        <w:t>FR: TF 6B 849/2011 du 6 juillet 2012</w:t>
      </w:r>
    </w:p>
    <w:p>
      <w:r>
        <w:t>IT: TF 6B 849/2011 del 6 luglio 2012</w:t>
      </w:r>
    </w:p>
    <w:p>
      <w:pPr>
        <w:pStyle w:val="Heading2"/>
      </w:pPr>
      <w:r>
        <w:t>Regeste</w:t>
      </w:r>
    </w:p>
    <w:p>
      <w:r>
        <w:t>Fristwiederherstellung (vorsätzliche Tötung usw.) | Strafrecht (allgemein)</w:t>
      </w:r>
    </w:p>
    <w:p>
      <w:pPr>
        <w:pStyle w:val="Heading2"/>
      </w:pPr>
      <w:r>
        <w:t>Erwägungen</w:t>
      </w:r>
    </w:p>
    <w:p>
      <w:r>
        <w:rPr>
          <w:b/>
        </w:rPr>
        <w:t>E. 1</w:t>
      </w:r>
    </w:p>
    <w:p>
      <w:r>
        <w:t>Die Beschwerdeführerin macht geltend, wie in jahrelanger, unangefochtener und problemloser Praxis habe sie die Berufungserklärung einen Tag vor Fristablauf dem behördlichen und beamteten internen Kurier übergeben, wobei sie immer davon habe ausgehen können und dürfen, dass die Sendung anderntags beim Obergericht einging. Angesichts dieser bewährten Praxis widerspreche es dem Grundsatz von Treu und Glauben (überspitzter Formalismus), wenn die Vorinstanz Art. 91 Abs. 2 StPO im konkreten Fall derart formstreng und am Buchstaben haftend interpretiere. Zudem könne unter den erwähnten Umständen nicht von einem Verschulden der Beschwerdeführerin im Sinne von Art. 94 Abs. 1 Satz 2 StPO ausgegangen werden.</w:t>
      </w:r>
    </w:p>
    <w:p>
      <w:r>
        <w:rPr>
          <w:b/>
        </w:rPr>
        <w:t>E. 1.1</w:t>
      </w:r>
    </w:p>
    <w:p>
      <w:r>
        <w:t>Die 20-tägige Frist des Art. 399 Abs. 3 StPO ist eine gesetzliche, mithin nicht erstreckbare Frist. Eine Wiederherstellung der Frist ist nur unter den Bedingungen des Art. 94 StPO möglich. Deshalb beruft sich die Beschwerdeführerin vergeblich auf das Verbot des überspitzten Formalismus.</w:t>
      </w:r>
    </w:p>
    <w:p>
      <w:r>
        <w:rPr>
          <w:b/>
        </w:rPr>
        <w:t>E. 1.2</w:t>
      </w:r>
    </w:p>
    <w:p>
      <w:r>
        <w:t>Eine Partei kann die Wiederherstellung einer versäumten Frist verlangen, wenn sie unter anderem glaubhaft macht, dass sie an der Säumnis kein Verschulden trifft ( Art. 94 Abs. 1 StPO ). Ein Verschulden von Hilfspersonen wie z.B. Boten ist der Partei wie eigenes Verschulden anzurechnen ( BGE 114 Ib 67 ; CHRISTOF RIEDO, Schweizerische Strafprozessordnung, Basler Kommentar, Art. 94 N. 58). Die Vorinstanz hält fest, die verspätete Zustellung durch den Kurierdienst sei nicht auf ein aussergewöhnliches Vorkommnis wie Naturereignisse, Unfall oder Krankheit zurückzuführen. Die Gefahr einer verspäteten Zustellung bestehe bei jedem Kurierdienst, was sich die Beschwerdeführerin anrechnen lassen müsse (angefochtener Entscheid S. 3 lit. d/e). Letztere lässt diese Erwägungen unwidersprochen. Insbesondere legt sie nicht dar, dass der interne Kurier die Frist schuldlos verpasst habe. Folglich hat die Vorinstanz das Gesuch, die Frist wieder herzustellen, zu Recht abgewiesen.</w:t>
      </w:r>
    </w:p>
    <w:p>
      <w:r>
        <w:rPr>
          <w:b/>
        </w:rPr>
        <w:t>E. 2</w:t>
      </w:r>
    </w:p>
    <w:p>
      <w:r>
        <w:t>Die Beschwerde ist abzuweisen, soweit darauf eingetreten werden kann. Gerichtskosten werden keine erhoben ( Art. 66 Abs. 4 BGG ). Für die unaufgeforderte Stellungnahme des Beschwerdegegners ist er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