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6B_847/2021 vom 13. Oktober 2021</w:t>
      </w:r>
    </w:p>
    <w:p>
      <w:r>
        <w:t>Bundesgericht, 2021-10-13, FR</w:t>
      </w:r>
    </w:p>
    <w:p>
      <w:r>
        <w:rPr>
          <w:b/>
        </w:rPr>
        <w:t xml:space="preserve">Quelle: </w:t>
      </w:r>
      <w:r>
        <w:t>https://mcp.opencaselaw.ch/entscheid/bger_6B_847_2021</w:t>
      </w:r>
    </w:p>
    <w:p>
      <w:r>
        <w:t>FR: TF 6B_847/2021 du 13 octobre 2021</w:t>
      </w:r>
    </w:p>
    <w:p>
      <w:r>
        <w:t>IT: TF 6B_847/2021 del 13 ottobre 2021</w:t>
      </w:r>
    </w:p>
    <w:p>
      <w:pPr>
        <w:pStyle w:val="Heading2"/>
      </w:pPr>
      <w:r>
        <w:t>Erwägungen</w:t>
      </w:r>
    </w:p>
    <w:p>
      <w:r>
        <w:rPr>
          <w:b/>
        </w:rPr>
        <w:t>E. 1</w:t>
      </w:r>
    </w:p>
    <w:p>
      <w:r>
        <w:t>Par arrêt du 3 juin 2021, la Chambre pénale de recours de la Cour de justice de la République et canton de Genève a rejeté le recours formé par A.________ contre le refus de répondre du Ministère public du canton de Genève à sa demande d'assistance juridique comme prévenue dans la procédure P/10577/2018.</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w:t>
      </w:r>
    </w:p>
    <w:p>
      <w:r>
        <w:t>La cour cantonale a constaté que dans son écriture, la recourante reprochait au ministère public de ne pas lui avoir désigné un avocat d'office dans la procédure P/10577/2018, malgré ses nombreuses relances, notamment en octobre et décembre 2020. Or sa demande d'assistance juridique avait été dûment rejetée par le ministère public par ordonnance du 14 septembre 2018 déjà, ce que la cour cantonale, saisie d'un recours pour déni de justice de l'intéressée, avait constaté dans un arrêt du 14 septembre 2020, confirmé par un arrêt du Tribunal fédéral du 19 avril 2021 (6B_1191/2020). Par conséquent, ses relances - nullement établies à la lecture du dossier hormis celle datée du 19 janvier 2021 - ne nécessitaient aucune réponse particulière et ne consacraient aucun nouveau déni de justice.</w:t>
      </w:r>
    </w:p>
    <w:p>
      <w:r>
        <w:rPr>
          <w:b/>
        </w:rPr>
        <w:t>E. 4</w:t>
      </w:r>
    </w:p>
    <w:p>
      <w:r>
        <w:t>La recourante se plaint de constatations erronées de la cour cantonale. Elle ne démontre cependant nullement en quoi ces constatations, qui concernent essentiellement des faits de procédure, auraient été établies de manière arbitraire ( art. 106 al. 2 LTF ). La recourante paraît, par ailleurs, remettre en cause sa condamnation aux frais de la procédure d'appel en alléguant son indigence. La cour cantonale a fixé un émolument de 300 fr. conformément aux art. 428 al. 1 CPP et 13 al. 1 du Règlement cantonal fixant le tarif des frais en matière pénale (RTFMP/GE; E 4 10.03). Dans la mesure où la recourante n'étaye nullement une violation de ces dispositions, respectivement l'application arbitraire du droit cantonal, son grief est irrecevable (cf. art. 42 al. 2 et 106 al. 2 LTF).</w:t>
      </w:r>
    </w:p>
    <w:p>
      <w:r>
        <w:t>Pour le reste, l'acte de recours est dénué de toute conclusion formelle et son très bref contenu ne permet pas de comprendre en quoi les considérations cantonales violeraient le droit aux yeux de la recourante. Faute de motivation substantielle et en l'absence de conclusions, le recours ne satisfait pas aux exigences de l' art. 42 al. 2 LTF .</w:t>
      </w:r>
    </w:p>
    <w:p>
      <w:r>
        <w:rPr>
          <w:b/>
        </w:rPr>
        <w:t>E. 5</w:t>
      </w:r>
    </w:p>
    <w:p>
      <w:r>
        <w:t>Au vu de ce qui précède, le recours, dont la motivation est manifestement insuffisante, doit être écarté dans la procédure prévue par l' art. 108 al. 1 let. b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