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847/2018 vom 15. Oktober 2018</w:t>
      </w:r>
    </w:p>
    <w:p>
      <w:r>
        <w:t>Bundesgericht, 2018-10-15, FR</w:t>
      </w:r>
    </w:p>
    <w:p>
      <w:r>
        <w:rPr>
          <w:b/>
        </w:rPr>
        <w:t xml:space="preserve">Quelle: </w:t>
      </w:r>
      <w:r>
        <w:t>https://mcp.opencaselaw.ch/entscheid/bger_6B_847_2018</w:t>
      </w:r>
    </w:p>
    <w:p>
      <w:r>
        <w:t>FR: TF 6B 847/2018 du 15 octobre 2018</w:t>
      </w:r>
    </w:p>
    <w:p>
      <w:r>
        <w:t>IT: TF 6B 847/2018 del 15 ottobre 2018</w:t>
      </w:r>
    </w:p>
    <w:p>
      <w:pPr>
        <w:pStyle w:val="Heading2"/>
      </w:pPr>
      <w:r>
        <w:t>Regeste</w:t>
      </w:r>
    </w:p>
    <w:p>
      <w:r>
        <w:t>Irrecevabilité du recours en matière pénale | Procédure pénale</w:t>
      </w:r>
    </w:p>
    <w:p>
      <w:pPr>
        <w:pStyle w:val="Heading2"/>
      </w:pPr>
      <w:r>
        <w:t>Erwägungen</w:t>
      </w:r>
    </w:p>
    <w:p>
      <w:r>
        <w:rPr>
          <w:b/>
        </w:rPr>
        <w:t>E. 1</w:t>
      </w:r>
    </w:p>
    <w:p>
      <w:r>
        <w:t>Par arrêt du 6 août 2018, la Chambre pénale de recours de la Cour de justice de la République et canton de Genève a déclaré irrecevable le recours formé par X.________ SA contre l'ordonnance de non-entrée en matière rendue le 25 mai 2018 par le Ministère public genevois. En substance, la cour cantonale a estimé que le recours de X.________ SA ne remplissait pas les exigences minimales de motivation.</w:t>
      </w:r>
    </w:p>
    <w:p>
      <w:r>
        <w:rPr>
          <w:b/>
        </w:rPr>
        <w:t>E. 2</w:t>
      </w:r>
    </w:p>
    <w:p>
      <w:r>
        <w:t>X.________ SA forme un recours au Tribunal fédéral contre l'arrêt cantonal. 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134 II 244 consid. 2.1). En l'occurrence, X.________ SA ne forme aucune conclusion. En outre, elle se borne à indiquer qu'elle conteste l'ordonnance de non-entrée en matière et à énumérer une liste de pièces qu'elle produit. De la sorte, elle ne démontre pas en quoi le prononcé d'irrecevabilité violerait le droit. Faute de satisfaire aux exigences de motivation précitées, son recours doit être écarté en application de l' art. 108 al. 1 let. b LTF .</w:t>
      </w:r>
    </w:p>
    <w:p>
      <w:r>
        <w:rPr>
          <w:b/>
        </w:rPr>
        <w:t>E. 3</w:t>
      </w:r>
    </w:p>
    <w:p>
      <w:r>
        <w:t>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