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6B_845/2017 vom 5. September 2017</w:t>
      </w:r>
    </w:p>
    <w:p>
      <w:r>
        <w:t>Bundesgericht, 2017-09-05, DE</w:t>
      </w:r>
    </w:p>
    <w:p>
      <w:r>
        <w:rPr>
          <w:b/>
        </w:rPr>
        <w:t xml:space="preserve">Quelle: </w:t>
      </w:r>
      <w:r>
        <w:t>https://mcp.opencaselaw.ch/entscheid/bger_6B_845_2017</w:t>
      </w:r>
    </w:p>
    <w:p>
      <w:r>
        <w:t>FR: TF 6B_845/2017 du 5 septembre 2017</w:t>
      </w:r>
    </w:p>
    <w:p>
      <w:r>
        <w:t>IT: TF 6B_845/2017 del 5 settembre 2017</w:t>
      </w:r>
    </w:p>
    <w:p>
      <w:pPr>
        <w:pStyle w:val="Heading2"/>
      </w:pPr>
      <w:r>
        <w:t>Erwägungen</w:t>
      </w:r>
    </w:p>
    <w:p>
      <w:r>
        <w:rPr>
          <w:b/>
        </w:rPr>
        <w:t>E. 1</w:t>
      </w:r>
    </w:p>
    <w:p>
      <w:r>
        <w:t>Das Obergericht des Kantons Obwalden trat am 21. Juni 2017 mit je separatem Beschluss auf zwei Beschwerdeeingaben nicht ein, weil diese den Begründungsanforderungen von Art. 396 Abs. 1 und Art. 385 Abs. 1 StPO nicht genügten und der Beschwerdeführer auch innert der ihm hierfür angesetzten Nachfrist keine den gesetzlichen Anforderungen genügenden Beschwerdeschriften eingereicht hatte ( Art. 385 Abs. 2 StPO ).</w:t>
      </w:r>
    </w:p>
    <w:p>
      <w:r>
        <w:t>Der Beschwerdeführer wendet sich mit zwei identischen Beschwerdeeingaben an das Bundesgericht.</w:t>
      </w:r>
    </w:p>
    <w:p>
      <w:r>
        <w:rPr>
          <w:b/>
        </w:rPr>
        <w:t>E. 2</w:t>
      </w:r>
    </w:p>
    <w:p>
      <w:r>
        <w:t>Es rechtfertigt sich, die Verfahren 6B_845/2017 und 6B_846/2017 gestützt auf Art. 71 BGG in sinngemässer Anwendung von Art. 24 Abs. 2 lit. b BZP zu vereinigen und die Beschwerden in einem einzigen Entscheid zu beurteilen.</w:t>
      </w:r>
    </w:p>
    <w:p>
      <w:r>
        <w:rPr>
          <w:b/>
        </w:rPr>
        <w:t>E. 3</w:t>
      </w:r>
    </w:p>
    <w:p>
      <w:r>
        <w:t>Der Beschwerdeführer führt aus, gerne persönlich an das Bundesgericht zu kommen, um sein Recht, sich zu verteidigen, wahrzunehmen. Die Sache ist indessen auch ohne Anhörung spruchreif. Für eine mündliche Verhandlung, die gemäss Art. 57 BGG nur ausnahmsweise angeordnet wird, besteht kein Anlass.</w:t>
      </w:r>
    </w:p>
    <w:p>
      <w:r>
        <w:rPr>
          <w:b/>
        </w:rPr>
        <w:t>E. 4</w:t>
      </w:r>
    </w:p>
    <w:p>
      <w:r>
        <w:t>Gemäss Art. 42 Abs. 2 BGG ist in der Beschwerdebegründung unter Bezugnahme auf den angefochtenen Entscheid darzulegen, inwieweit dieser gegen das Recht verstossen soll. Anfechtbar ist nur der Entscheid der letzten kantonalen Instanz ( Art. 80 Abs. 1 BGG ).</w:t>
      </w:r>
    </w:p>
    <w:p>
      <w:r>
        <w:t>Diesen Anforderungen genügen die Beschwerdeeingaben nicht. Streitgegenstand vor Bundesgericht ist ausschliesslich, ob das Obergericht zu Recht auf die Rechtsmittel des Beschwerdeführers nicht eingetreten ist. Damit befasst sich der Beschwerdeführer indessen nicht. Er äussert sich vielmehr ausschliesslich zur materiellen Seite der Angelegenheit und führt im Wesentlichen aus, auch das Bundesgericht könne nicht dulden, dass ohne polizeiliche Ermittlungen und Befragungen gerichtet werde. Die Behauptung, der Grundstücksverkauf von 1981 sei verjährt, sei "glasklar Lug und Trug", was auch der a.o. Oberstaatsanwaltschaft bestens wisse. Genau diese "Offizialdelikte-Strafklage" wolle er untersucht haben, denn er wisse, dass in diesem "sehr sehr sehr speziellen Falle" der Verkauf als ungültig rückgängig gemacht werden könne. Aus diesen teilweise nur schwer nachvollziehbaren Ausführungen ergibt sich nicht im Ansatz, inwiefern die angefochtenen Nichteintretensentscheide des Obergerichts gegen das Recht im Sinne von Art. 95 BGG verstossen könnten. Auf die Beschwerden ist im Verfahren nach Art. 108 BGG mangels hinreichender Begründung nicht einzutreten.</w:t>
      </w:r>
    </w:p>
    <w:p>
      <w:r>
        <w:rPr>
          <w:b/>
        </w:rPr>
        <w:t>E. 5</w:t>
      </w:r>
    </w:p>
    <w:p>
      <w:r>
        <w:t>Die Gesuche um unentgeltliche Rechtspflege sind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