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845/2009 vom 11. Januar 2010</w:t>
      </w:r>
    </w:p>
    <w:p>
      <w:r>
        <w:t>Bundesgericht, 2010-01-11, FR</w:t>
      </w:r>
    </w:p>
    <w:p>
      <w:r>
        <w:rPr>
          <w:b/>
        </w:rPr>
        <w:t xml:space="preserve">Quelle: </w:t>
      </w:r>
      <w:r>
        <w:t>https://mcp.opencaselaw.ch/entscheid/bger_6B_845_2009</w:t>
      </w:r>
    </w:p>
    <w:p>
      <w:r>
        <w:t>FR: TF 6B 845/2009 du 11 janvier 2010</w:t>
      </w:r>
    </w:p>
    <w:p>
      <w:r>
        <w:t>IT: TF 6B 845/2009 del 11 gennaio 2010</w:t>
      </w:r>
    </w:p>
    <w:p>
      <w:pPr>
        <w:pStyle w:val="Heading2"/>
      </w:pPr>
      <w:r>
        <w:t>Regeste</w:t>
      </w:r>
    </w:p>
    <w:p>
      <w:r>
        <w:t>Fixation du montant du jour-amende | Droit pénal (en général)</w:t>
      </w:r>
    </w:p>
    <w:p>
      <w:pPr>
        <w:pStyle w:val="Heading2"/>
      </w:pPr>
      <w:r>
        <w:t>Erwägungen</w:t>
      </w:r>
    </w:p>
    <w:p>
      <w:r>
        <w:rPr>
          <w:b/>
        </w:rPr>
        <w:t>E. 1</w:t>
      </w:r>
    </w:p>
    <w:p>
      <w:r>
        <w:t>Le recourant conteste la déduction par 930 fr. du loyer mensuel du condamné, laquelle réduit à 53 fr. par jour, plutôt qu'à 84 fr., le montant du jour-amende.</w:t>
      </w:r>
    </w:p>
    <w:p>
      <w:r>
        <w:rPr>
          <w:b/>
        </w:rPr>
        <w:t>E. 1.1</w:t>
      </w:r>
    </w:p>
    <w:p>
      <w:r>
        <w:t>Le Tribunal fédéral a déduit du principe du revenu net et des critères légaux les règles suivantes pour la détermination de la quotité du jour-amende ( ATF 134 IV 60 consid. 6 p. 68 ss).</w:t>
      </w:r>
    </w:p>
    <w:p>
      <w:r>
        <w:rPr>
          <w:b/>
        </w:rPr>
        <w:t>E. 1.1.1</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 La notion pénale de revenu au sens de l' 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 ATF 134 IV 60 consid. 6.1 p. 68 s.).</w:t>
      </w:r>
    </w:p>
    <w:p>
      <w:r>
        <w:rPr>
          <w:b/>
        </w:rPr>
        <w:t>E. 1.1.2</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 ATF 134 IV 60 consid. 6.2 p. 69 s.).</w:t>
      </w:r>
    </w:p>
    <w:p>
      <w:r>
        <w:rPr>
          <w:b/>
        </w:rPr>
        <w:t>E. 1.1.3</w:t>
      </w:r>
    </w:p>
    <w:p>
      <w:r>
        <w:t>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 ATF 134 IV 60 consid. 6.3 p. 70).</w:t>
      </w:r>
    </w:p>
    <w:p>
      <w:r>
        <w:rPr>
          <w:b/>
        </w:rPr>
        <w:t>E. 1.1.4</w:t>
      </w:r>
    </w:p>
    <w:p>
      <w:r>
        <w:t>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 art. 48 let .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indépendantes de sa volonté ( ATF 134 IV 60 consid. 6.4 p. 70 s.).</w:t>
      </w:r>
    </w:p>
    <w:p>
      <w:r>
        <w:rPr>
          <w:b/>
        </w:rPr>
        <w:t>E. 1.1.5</w:t>
      </w:r>
    </w:p>
    <w:p>
      <w:r>
        <w:t>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 art. 93 LP )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Telle qu'elle est conçue dans la loi, la peine pécuniaire ne doit pas non plus être exécutée prioritairement par voie de poursuite, mais bien par un paiement spontané. La poursuite ne doit être introduite que si l'auteur ne s'acquitte pas de la peine pécuniaire dans le délai imparti et qu'un résultat puisse en être attendu ( art. 35 al. 3 CP ). Il importe par ailleurs que de l'avis du législateur la peine pécuniaire doit, dans la règle, être assortie du sursis, partant son exécution suspendue ( art. 42 al. 1 CP ). Il s'ensuit que le jour-amende n'est pas limité au revenu qui pourrait vraisemblablement être retiré dans une poursuite ( ATF 134 IV 60 consid. 6.5.1 p. 71 s.).</w:t>
      </w:r>
    </w:p>
    <w:p>
      <w:r>
        <w:rPr>
          <w:b/>
        </w:rPr>
        <w:t>E. 1.2</w:t>
      </w:r>
    </w:p>
    <w:p>
      <w:r>
        <w:t>Selon les juges neuchâtelois, l'absence de déduction des frais de loyer est, à juste titre, critiquée par une partie de la doctrine, ce pour les deux motifs suivants. D'une part, en vertu de l' art. 41 CP , le juge qui prononce une peine pécuniaire doit examiner si celle-ci peut être exécutée. Une réponse négative devrait régulièrement être donnée si le montant que l'auteur consacre au paiement du loyer était systématiquement ignoré et au contraire pris en considération dans le revenu déterminant pour arrêter le montant du jour-amende. Le juge devrait en effet constater que, l'auteur ne disposant pas de ressources lui permettant de payer à la fois son loyer et la sanction pénale, une peine pécuniaire ne peut être prononcée puisqu'elle exposerait l'auteur à l'expulsion de son logement pour défaut de paiement du loyer. Ce constat devrait alors conduire le juge à prononcer une courte peine privative de liberté en lieu et place d'une peine pécuniaire, alors que le législateur a précisément voulu que la peine pécuniaire prenne le pas sur la peine privative de liberté. D'autre part, très fréquemment, la charge que représentent les frais de logement n'est pas consentie qu'au seul profit de l'auteur, mais également à celui des membres de sa famille qui, eux, peuvent prétendre à ne pas voir leur besoin de se loger menacé par les sanctions pénales auxquelles l'auteur doit être condamné.</w:t>
      </w:r>
    </w:p>
    <w:p>
      <w:r>
        <w:rPr>
          <w:b/>
        </w:rPr>
        <w:t>E. 1.3</w:t>
      </w:r>
    </w:p>
    <w:p>
      <w:r>
        <w:t>Ce raisonnement ne saurait être suivi. En effet, en application de la jurisprudence, les juges n'ont pas, de manière générale, à tenir compte des intérêts hypothécaires et frais de logement de l'auteur. Par ailleurs, les autorités n'ont pas à prononcer une courte peine privative de liberté à la place d'une peine pécuniaire, au motif que cette dernière ne serait pas exécutable au sens de l' art. 41 al. 1 CP , l'auteur ne disposant pas des ressources nécessaires lui permettant de régler le montant de son loyer. En effet, la situation économique du condamné ne peut en aucun cas constituer un critère pertinent pour le choix de la nature de la peine ( ATF 134 IV 97 consid. 5.2.3 p. 104 s). Même mauvaise ou assistée, la situation économique de l'auteur ne permet pas de justifier le prononcé d'une peine privative de liberté au lieu d'une peine pécuniaire. Admettre le contraire irait à l'encontre de la volonté du législateur. La situation économique précaire de l'intéressé ne peut entrer en ligne de compte que dans le calcul du montant du jour-amende. En outre, des facilités de paiement peuvent être accordées. Ainsi, l' art. 35 al. 1 CP précise que l'autorité d'exécution fixe au condamné un délai de paiement de un à douze mois, peut autoriser le paiement par acomptes et, sur requête, prolonger les délais.</w:t>
      </w:r>
    </w:p>
    <w:p>
      <w:r>
        <w:rPr>
          <w:b/>
        </w:rPr>
        <w:t>E. 2</w:t>
      </w:r>
    </w:p>
    <w:p>
      <w:r>
        <w:t>Le recours doit être admis, l'arrêt attaqué annulé et la cause renvoyée à l'autorité cantonale pour nouvelle décision dans le sens des considérants et, partant, sur le montant du jour-amende. Il n'est pas perçu de frais,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