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6B_843/2015 vom 24. Februar 2016</w:t>
      </w:r>
    </w:p>
    <w:p>
      <w:r>
        <w:t>Bundesgericht, 2016-02-24, DE</w:t>
      </w:r>
    </w:p>
    <w:p>
      <w:r>
        <w:rPr>
          <w:b/>
        </w:rPr>
        <w:t xml:space="preserve">Quelle: </w:t>
      </w:r>
      <w:r>
        <w:t>https://mcp.opencaselaw.ch/entscheid/bger_6B_843_2015</w:t>
      </w:r>
    </w:p>
    <w:p>
      <w:r>
        <w:t>FR: TF 6B_843/2015 du 24 février 2016</w:t>
      </w:r>
    </w:p>
    <w:p>
      <w:r>
        <w:t>IT: TF 6B_843/2015 del 24 febbraio 2016</w:t>
      </w:r>
    </w:p>
    <w:p>
      <w:pPr>
        <w:pStyle w:val="Heading2"/>
      </w:pPr>
      <w:r>
        <w:t>Erwägungen</w:t>
      </w:r>
    </w:p>
    <w:p>
      <w:r>
        <w:rPr>
          <w:b/>
        </w:rPr>
        <w:t>E. 1</w:t>
      </w:r>
    </w:p>
    <w:p>
      <w:r>
        <w:t>Entscheide über Ansprüche auf Entschädigung und Genugtuung gemäss Art. 429 Abs. 1 StPO sind Entscheide in Strafsachen im Sinne von Art. 78 Abs. 1 BGG , gegen welche die Beschwerde in Strafsachen zulässig ist ( BGE 139 IV 206 E. 1).</w:t>
      </w:r>
    </w:p>
    <w:p>
      <w:r>
        <w:rPr>
          <w:b/>
        </w:rPr>
        <w:t>E. 2</w:t>
      </w:r>
    </w:p>
    <w:p>
      <w:r>
        <w:t>Wird die beschuldigte Person ganz oder teilweise freigesprochen oder wird das Verfahren gegen sie eingestellt, so hat sie unter anderem Anspruch auf Entschädigung für die angemessene Ausübung ihrer Verfahrensrechte ( Art. 429 Abs. 1 lit. a StPO ).</w:t>
      </w:r>
    </w:p>
    <w:p>
      <w:r>
        <w:rPr>
          <w:b/>
        </w:rPr>
        <w:t>E. 2.1</w:t>
      </w:r>
    </w:p>
    <w:p>
      <w:r>
        <w:t>Die schweizerische Strafprozessordnung regelt die Verfolgung und Beurteilung der Straftaten nach Bundesrecht durch die Strafbehörden des Bundes und der Kantone ( Art. 1 Abs. 1 StPO ). Da die Gegenstand des Verfahrens bildende Übertretung kantonalrechtlicher Natur ist, kann die schweizerische Strafprozessordnung nicht als Bundesrecht, sondern nur als stellvertretendes kantonales Recht Anwendung finden. Gemäss § 39 des thurgauischen Gesetzes über die Zivil- und Strafrechtspflege vom 17. Juni 2009, in Kraft seit 1. Januar 2011, sind die Vorschriften der Strafprozessordnung, der Jugendstrafprozessordnung und dieses Gesetzes auch auf das kantonale Strafrecht anwendbar. Die Kognition des Bundesgerichts ist daher auf Willkür beschränkt. Das Bundesgericht hat mithin nur zu prüfen, ob die Vorinstanz in Willkür verfiel, also in schlechterdings unhaltbarer Weise entschied, indem sie erkannte, im vorliegenden Verfahren sei der Beizug eines Anwalts nicht angemessen gewesen.</w:t>
      </w:r>
    </w:p>
    <w:p>
      <w:r>
        <w:rPr>
          <w:b/>
        </w:rPr>
        <w:t>E. 2.2</w:t>
      </w:r>
    </w:p>
    <w:p>
      <w:r>
        <w:t>Nach der Rechtsprechung des Bundesgerichts ist der beschuldigten Person in der Regel der Beizug eines Anwalts zuzubilligen, jedenfalls wenn dem Deliktsvorwurf eine gewisse Schwere zukommt. Es ist zu beachten,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 BGE 138 IV 197 E. 2.3.5; Urteil 1B_536/2012 vom 9. Januar 2013 E. 2.2). Aus dieser Rechtsprechung ergibt sich, dass im Besonderen bei blossen Übertretungen die Antwort auf die Frage, ob der Beizug eines Anwalts angemessen war, von den konkreten Umständen des einzelnen Falles abhängt, wobei allerdings an die Angemessenheit keine hohen Anforderungen zu stellen sind.</w:t>
      </w:r>
    </w:p>
    <w:p>
      <w:r>
        <w:rPr>
          <w:b/>
        </w:rPr>
        <w:t>E. 2.3</w:t>
      </w:r>
    </w:p>
    <w:p>
      <w:r>
        <w:t>Der Beschwerdeführer bestritt in seiner polizeilichen Befragung den vom Anzeigeerstatter erhobenen Vorwurf. Gleichwohl erliess die Staatsanwaltschaft einen Strafbefehl. Erst als dieser vorlag, zog der Beschwerdeführer einen Anwalt bei, welcher die Einsprache gegen den Strafbefehl verfasste. In der Folge wurde der Beschwerdeführer in Anwesenheit seines Anwalts durch die Staatsanwaltschaft einvernommen. Diese stellte das Verfahren ein, da nicht mit hinreichender Gewissheit ausgeschlossen werden konnte, dass die Zigarren- und Zigarillo-Stummel vom Wind auf die Liegenschaft des Anzeigers geweht oder von einer Drittperson dorthin geworfen worden sein könnten. Die Straftat, die dem Beschwerdeführer vorgeworfen wurde, ist eine kantonalrechtliche Übertretung. Konsequenzen etwa zivil- oder administrativrechtlicher Art waren nicht zu befürchten. Der gegen den Beschwerdeführer erhobene Vorwurf, er habe Zigarren- und Zigarillo-Stummel auf das Nachbargrundstück geworfen, ist in tatsächlicher Hinsicht einfach und bietet rechtlich keine Schwierigkeiten. Komplikationen irgendwelcher Art waren auszuschliessen. Um sich gegen den Vorwurf zu verteidigen, benötigte der Beschwerdeführer, ein kaufmännischer Angestellter, keine Kenntnisse von Rechtsprechung und Lehre und keine besondere Verteidigungsstrategie. Zwar war das nachbarschaftliche Verhältnis zwischen dem Beschwerdeführer und dem Anzeigeerstatter seit längerer Zeit angespannt und war es auch aus diesem Grunde für den Beschwerdeführer nach dessen Aussagen von Bedeutung, dass er sich erfolgreich gegen den vom Nachbarn erhobenen Vorwurf zur Wehr setzen konnte. Dies ist indessen kein ausreichender Grund für den Beizug eines Anwalts. Für den Beschwerdeführer belastend war nicht das Strafverfahren als solches, sondern der seit langer Zeit andauernde nachbarschaftliche Konflikt. Der vorliegende Fall unterscheidet sich hinsichtlich der konkreten Umstände in mehrfacher Hinsicht von dem im Urteil 1B_536/2012 vom 9. Januar 2013 beurteilten Fall, auf welchen der Beschwerdeführer sich beruft. In jenem Fall betreffend eine Auffahrkollision im Strassenverkehr war nicht absehbar, inwiefern die Rückenverletzung eines Unfallbeteiligten das weitere Verfahren beeinflussen würde, und konnte der Ausgang des Strafverfahrens Konsequenzen in haftpflichtrechtlicher, versicherungsrechtlicher und administrativrechtlicher Hinsicht haben (siehe das zitierte Urteil E. 2.3).</w:t>
      </w:r>
    </w:p>
    <w:p>
      <w:r>
        <w:t>Zwar sind an die Angemessenheit des Beizugs eines Verteidigers keine hohen Anforderungen zu stellen und wird der Beizug auch bei blossen Übertretungen im Besonderen nach Erlass eines Strafbefehls häufig als angemessen erscheinen. Die Vorinstanz verfiel indessen nicht in Willkür, indem sie den Beizug eines Verteidigers im vorliegenden Fall nicht als angemessen erachtete, da es sich in jeder Hinsicht um eine Bagatelle handelte.</w:t>
      </w:r>
    </w:p>
    <w:p>
      <w:r>
        <w:rPr>
          <w:b/>
        </w:rPr>
        <w:t>E. 3</w:t>
      </w:r>
    </w:p>
    <w:p>
      <w:r>
        <w:t>Die Beschwerde ist somit abzuweisen. Der Beschwerdeführer hat daher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