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842/2020 vom 9. September 2020</w:t>
      </w:r>
    </w:p>
    <w:p>
      <w:r>
        <w:t>Bundesgericht, 2020-09-09, DE</w:t>
      </w:r>
    </w:p>
    <w:p>
      <w:r>
        <w:rPr>
          <w:b/>
        </w:rPr>
        <w:t xml:space="preserve">Quelle: </w:t>
      </w:r>
      <w:r>
        <w:t>https://mcp.opencaselaw.ch/entscheid/bger_6B_842_2020</w:t>
      </w:r>
    </w:p>
    <w:p>
      <w:r>
        <w:t>FR: TF 6B 842/2020 du 9 septembre 2020</w:t>
      </w:r>
    </w:p>
    <w:p>
      <w:r>
        <w:t>IT: TF 6B 842/2020 del 9 settembre 2020</w:t>
      </w:r>
    </w:p>
    <w:p>
      <w:pPr>
        <w:pStyle w:val="Heading2"/>
      </w:pPr>
      <w:r>
        <w:t>Regeste</w:t>
      </w:r>
    </w:p>
    <w:p>
      <w:r>
        <w:t>Nichtanhandnahme (Amts- und Rechtsmissbrauch, Prozessbetrug etc.); Nichteintreten | Strafprozess</w:t>
      </w:r>
    </w:p>
    <w:p>
      <w:pPr>
        <w:pStyle w:val="Heading2"/>
      </w:pPr>
      <w:r>
        <w:t>Erwägungen</w:t>
      </w:r>
    </w:p>
    <w:p>
      <w:r>
        <w:rPr>
          <w:b/>
        </w:rPr>
        <w:t>E. 1</w:t>
      </w:r>
    </w:p>
    <w:p>
      <w:r>
        <w:t>Der Beschwerdeführer erstattete am 15. Mai 2020 Strafanzeige gegen einen Rechtsanwalt u.a. wegen Nötigung, Irreführung der Rechtspflege und Betrugs. Die Regionale Staatsanwaltschaft Bern-Mittelland nahm eine Strafuntersuchung am 4. Juni 2020 nicht an die Hand. Eine dagegen gerichtete Beschwerde wies das Obergericht des Kantons Bern am 24. Juni 2020 ab. Der Beschwerdeführer wendet sich an das Bundesgericht.</w:t>
      </w:r>
    </w:p>
    <w:p>
      <w:r>
        <w:rPr>
          <w:b/>
        </w:rPr>
        <w:t>E. 2</w:t>
      </w:r>
    </w:p>
    <w:p>
      <w:r>
        <w:t>Der Privatklägerschaft wird ein rechtlich geschütztes Interesse an der Beschwerde zuerkannt, wenn sich der angefochtene Entscheid auf die Beurteilung ihrer Zivilansprüche auswirken kann (Art. 81 Abs. 1 lit. b Ziff. 5 BGG; BGE 141 IV 1 E. 1.1). Der Beschwerdeführer äussert sich in seiner Beschwerde zu seiner Legitimation und zur Frage einer allfälligen Zivilforderung nicht. Er legt nicht dar, um welche zivilrechtlichen Ansprüche es konkret gehen soll und inwiefern sich der angefochtene Beschluss darauf auswirken könnte. Aufgrund der von ihm erhobenen Vorwürfe ist dies auch nicht ohne Weiteres ersichtlich. Folglich ist davon auszugehen, dass der Beschwerdeführer in der Sache zur Beschwerdeerhebung nicht legitimiert ist. Eine Beschwerdelegitimation nach Art. 81 Abs. 1 lit. b Ziff. 6 BGG fällt ausser Betracht, da es vorliegend nicht um das Strafantragsrecht als solches geht.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Soweit in der Beschwerde Grundrechtsverletzungen gerügt werden, genügen die Ausführungen den gesetzlichen Begründungsanforderungen nicht. So ist z.B. nicht ansatzweise dargetan, inwieweit das Verfahren unfair gewesen und das rechtliche Gehör des Beschwerdeführers verletzt worden sein könnte.</w:t>
      </w:r>
    </w:p>
    <w:p>
      <w:r>
        <w:rPr>
          <w:b/>
        </w:rPr>
        <w:t>E. 4</w:t>
      </w:r>
    </w:p>
    <w:p>
      <w:r>
        <w:t>Soweit der Beschwerdeführer die in Anwendung von Art. 428 Abs. 1 StPO erfolgte vorinstanzliche Kostenauflage beanstandet, sagt er ebenfalls nicht, was daran gegen Bundesrecht verstossen könnte ( Art. 42 Abs. 2 BGG ).</w:t>
      </w:r>
    </w:p>
    <w:p>
      <w:r>
        <w:rPr>
          <w:b/>
        </w:rPr>
        <w:t>E. 5</w:t>
      </w:r>
    </w:p>
    <w:p>
      <w:r>
        <w:t>Auf die Beschwerde ist damit im Verfahren nach Art. 108 BGG nicht einzutreten. 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