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842/2009 vom 27. November 2009</w:t>
      </w:r>
    </w:p>
    <w:p>
      <w:r>
        <w:t>Bundesgericht, 2009-11-27, FR</w:t>
      </w:r>
    </w:p>
    <w:p>
      <w:r>
        <w:rPr>
          <w:b/>
        </w:rPr>
        <w:t xml:space="preserve">Quelle: </w:t>
      </w:r>
      <w:r>
        <w:t>https://mcp.opencaselaw.ch/entscheid/bger_6B_842_2009</w:t>
      </w:r>
    </w:p>
    <w:p>
      <w:r>
        <w:t>FR: TF 6B 842/2009 du 27 novembre 2009</w:t>
      </w:r>
    </w:p>
    <w:p>
      <w:r>
        <w:t>IT: TF 6B 842/2009 del 27 novembre 2009</w:t>
      </w:r>
    </w:p>
    <w:p>
      <w:pPr>
        <w:pStyle w:val="Heading2"/>
      </w:pPr>
      <w:r>
        <w:t>Regeste</w:t>
      </w:r>
    </w:p>
    <w:p>
      <w:r>
        <w:t>Conduite sous retrait, refus ou interdiction d'utilisation du permis de conduire | Infractions</w:t>
      </w:r>
    </w:p>
    <w:p>
      <w:pPr>
        <w:pStyle w:val="Heading2"/>
      </w:pPr>
      <w:r>
        <w:t>Erwägungen</w:t>
      </w:r>
    </w:p>
    <w:p>
      <w:r>
        <w:rPr>
          <w:b/>
        </w:rPr>
        <w:t>E. 1</w:t>
      </w:r>
    </w:p>
    <w:p>
      <w:r>
        <w:t>Le délit prévu à l' art. 95 ch. 2 LCR n'est réalisé que si l'auteur a conduit un véhicule automobile en Suisse (cf. art. 3 al. 1 et 333 al. 1 CP). Intercepté à la douane, le recourant soutient qu'il n'aurait pas circulé sur le territoire de la Confédération et qu'il ne pourrait dès lors pas être reconnu coupable de l'infraction consommée. Au demeurant, il allègue qu'il avait demandé à sa femme de prendre le volant avant la douane, mais que celle-ci avait refusé à cause des mauvaises conditions météorologiques. Il aurait donc agi en état de nécessité ( art. 17 CP ). Le recourant ne s'est pas arrêté sur la ligne même de la frontière. Au contraire, l'arrêt attaqué constate, sans qu'aucun grief d'arbitraire ne soit soulevé sur ce point, qu'il a conduit sa voiture sur le territoire suisse (consid. 2.2 p. 3). Son comportement entre dès lors bien dans les prévisions de l' art. 95 ch. 2 LCR . En outre, l'arrêt attaqué nie que le recourant ait prévu de céder le volant à son épouse (consid. 2.2 p. 3 s.), sans que les critiques formulées contre cette constatation en démontrent l'arbitraire. Au demeurant, l'état de nécessité, au sens de l' art. 17 CP , suppose que l'infraction ait été commise dans le but de prévenir la réalisation d'un danger impossible à détourner autrement. Or, rien n'aurait empêché le recourant de s'arrêter sur le territoire français et de rentrer, avec son épouse, par un autre moyen de transport. Les conditions d'application de l' art. 17 CP ne sont dès lors pas remplies. Il s'ensuit que c'est à bon droit que le recourant a été reconnu coupable de conduite d'un véhicule automobile au mépris d'un retrait de permis. Le recours doit ainsi être rejeté.</w:t>
      </w:r>
    </w:p>
    <w:p>
      <w:r>
        <w:rPr>
          <w:b/>
        </w:rPr>
        <w:t>E. 2</w:t>
      </w:r>
    </w:p>
    <w:p>
      <w:r>
        <w:t>Le recourant, qui succombe, doit supporter les frais de justice ( art. 66 al. 1 LTF ). La cause étant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