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6B_841/2015 vom 10. November 2015</w:t>
      </w:r>
    </w:p>
    <w:p>
      <w:r>
        <w:t>Bundesgericht, 2015-11-10, DE</w:t>
      </w:r>
    </w:p>
    <w:p>
      <w:r>
        <w:rPr>
          <w:b/>
        </w:rPr>
        <w:t xml:space="preserve">Quelle: </w:t>
      </w:r>
      <w:r>
        <w:t>https://mcp.opencaselaw.ch/entscheid/bger_6B_841_2015</w:t>
      </w:r>
    </w:p>
    <w:p>
      <w:r>
        <w:t>FR: TF 6B_841/2015 du 10 novembre 2015</w:t>
      </w:r>
    </w:p>
    <w:p>
      <w:r>
        <w:t>IT: TF 6B_841/2015 del 10 novembre 2015</w:t>
      </w:r>
    </w:p>
    <w:p>
      <w:pPr>
        <w:pStyle w:val="Heading2"/>
      </w:pPr>
      <w:r>
        <w:t>Erwägungen</w:t>
      </w:r>
    </w:p>
    <w:p>
      <w:r>
        <w:rPr>
          <w:b/>
        </w:rPr>
        <w:t>E. 1</w:t>
      </w:r>
    </w:p>
    <w:p>
      <w:r>
        <w:t>Auf die Beschwerde ist mangels Begründung nicht einzutreten, soweit der Beschwerdeführer einleitend pauschal und ohne Bezug zum angefochtenen Entscheid Gesetzes- und Verfassungsartikel aufführt (Beschwerde S. 3 Ziff. 5; Art. 42 Abs. 2 und Art. 106 Abs. 2 BGG ).</w:t>
      </w:r>
    </w:p>
    <w:p>
      <w:r>
        <w:t>Ebenfalls nicht einzutreten ist auf die erstmals vor Bundesgericht erhobenen Einwände, einzig die Aussagen von A.________ anlässlich der Einvernahme vom Februar 2012 seien verwertbar (Beschwerde S. 13), und aus der Anklage werde nicht ersichtlich, wie er diese genötigt haben soll (Beschwerde S. 14). Der Beschwerdeführer hätte diese Rügen bereits im kantonalen Verfahren vorbringen können und müssen. Der Grundsatz der Ausschöpfung des kantonalen Instanzenzugs und das Gebot von Treu und Glauben ( Art. 5 Abs. 3 BV ) verbieten es, formelle Rügen erst bei ungünstigem Verfahrensausgang zu erheben, wenn sie bereits früher hätten vorgebracht werden können ( BGE 135 I 91 E. 2.1; 135 III 334 E. 2.2; je mit Hinweis).</w:t>
      </w:r>
    </w:p>
    <w:p>
      <w:r>
        <w:rPr>
          <w:b/>
        </w:rPr>
        <w:t>E. 2.1</w:t>
      </w:r>
    </w:p>
    <w:p>
      <w:r>
        <w:t>Der Beschwerdeführer rügt beim ersten Vorfall eine Verletzung des Grundsatzes der freien Beweiswürdigung ( Art. 10 Abs. 2 StPO ) und eine willkürliche Beweiswürdigung ( Art. 9 BV ). Er macht zusammengefasst geltend, die Vorinstanz berücksichtige nicht, dass die Anzeige erst drei Tage nach der Tat erfolgt sei, dass die Beschwerdegegnerin 3 anfänglich Dritten gegenüber geäussert habe, der Sexualkontakt mit ihm sei einvernehmlich gewesen und dass erst der Kontakt mit einem angeblichen früheren Opfer von ihm ihre Anzeige veranlasst habe. Bei der Würdigung der Aussagen der Beschwerdegegnerin 3 sei einzubeziehen, dass sie vor dem Vorfall ein Gespräch sexuellen Inhalts über das Urinieren geführt hätten, dass sie davon abzulenken versuche, indem sie behaupte, sie sei abgefüllt worden, und dass er nach dem Vorfall C.________ mitgeteilt habe, die Beschwerdegegnerin 3 habe ihn oral befriedigt. Deshalb könne der Vorwurf, der Oralverkehr sei nicht einvernehmlich gewesen, nicht zutreffen. Schliesslich habe er den Oralverkehr plausibel geschildert. Ausserdem stelle ein Gutachter fest, dass er kein Lügner sei (Beschwerde S. 7-12).</w:t>
      </w:r>
    </w:p>
    <w:p>
      <w:r>
        <w:rPr>
          <w:b/>
        </w:rPr>
        <w:t>E. 2.2</w:t>
      </w:r>
    </w:p>
    <w:p>
      <w:r>
        <w:t>Die Sachverhaltsfeststellung der Vorinstanz kann vor Bundesgericht nur gerügt werden, wenn sie offensichtlich unrichtig, d.h. willkürlich im Sinne von Art. 9 BV ist ( BGE 139 II 404 E. 10.1 S. 445 mit Hinweisen), oder wenn sie auf einer Rechtsverletzung im Sinne von Art. 95 BGG beruht und wenn die Behebung des Mangels für den Ausgang des Verfahrens entscheidend sein kann ( Art. 97 Abs. 1 BGG ).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139 III 334 E. 3.2.5 S. 339 ; 138 I 305 E. 4.3; je mit Hinweisen). Die Willkürrüge muss klar vorgebracht und substanziiert begründet werden ( Art. 106 Abs. 2 BGG ; BGE 138 I 225 E. 3.2 mit Hinweisen). Auf eine rein appellatorische Kritik am angefochtenen Urteil tritt das Bundesgericht nicht ein ( BGE 139 II 404 E. 10.1 S. 445 mit Hinweisen).</w:t>
      </w:r>
    </w:p>
    <w:p>
      <w:r>
        <w:rPr>
          <w:b/>
        </w:rPr>
        <w:t>E. 2.3</w:t>
      </w:r>
    </w:p>
    <w:p>
      <w:r>
        <w:t>Die Vorinstanz legt schlüssig dar, weshalb sie mehrheitlich zur Auffassung gelangt, aufgrund der gesamten Umstände und der glaubhaften Aussagen der Beschwerdegegnerin 3 sei von deren Sachverhaltsschilderung auszugehen, wonach der Beschwerdeführer sie zum Oralverkehr gezwungen habe. Ihre Würdigung ist nicht zu beanstanden. Was der Beschwerdeführer dagegen einwendet, erschöpft sich weitgehend in einer appellatorischen Kritik am angefochtenen Urteil, auf die das Bundesgericht nicht eintritt. Er beschränkt sich darauf, die eigene Sichtweise des Geschehens darzulegen. Damit ist seine Beschwerde nicht geeignet, offensichtlich erhebliche und schlechterdings nicht zu unterdrückende Zweifel daran darzutun, dass sich der Anklagesachverhalt verwirklicht hat. Der Beschwerdeführer hätte klar und substanziiert darlegen müssen, inwiefern die Feststellungen der Vorinstanz offensichtlich unhaltbar sind oder mit der tatsächlichen Situation in klarem Widerspruch stehen und dass die vorhandenen Beweise andere Schlussfolgerungen geradezu aufdrängen. So hält die Vorinstanz z.B. nachvollziehbar fest, weshalb sie für die Beweiswürdigung beim ersten Vorfall grundsätzlich nur auf die Aussagen der beiden Beteiligten abstellt (Urteil S. 15 E. 3.5), und führt aus, wie sie den Umstand würdigt, dass die Anzeige erst drei Tage nach dem Vorfall erfolgte (Urteil S. 17 E. 3.6.3), und weshalb sie die Schilderungen der Beschwerdegegnerin 3 als glaubhaft erachtet (Urteil S. 16-18 E. 3.6 und E. 3.8). Soweit sich der Beschwerdeführer überhaupt substanziiert mit den Erwägungen der Vorinstanz auseinandersetzt, sind seine Vorbringen und Rügen unbehelflich. Entgegen seiner Auffassung führt der Umstand, dass der Gutachter das pathologische Lügen bei ihm im Zusammenhang mit der revidierten Psychopathy-Checkliste mit null Punkten bewertete (kantonale Akten act. 533, Gutachten vom 19. Juli 2013, S. 50 ), nicht dazu, dass seine Aussagen glaubhaft sind. Die Vorinstanz setzt sich mit seinen Angaben auseinander und gelangt willkürfrei zum Schluss, sie seien widersprüchlich und nicht glaubhaft (Urteil S. 17 E. 3.7). Die Beschwerde ist in diesem Punkt unbegründet, soweit auf sie eingetreten werden kann.</w:t>
      </w:r>
    </w:p>
    <w:p>
      <w:r>
        <w:rPr>
          <w:b/>
        </w:rPr>
        <w:t>E. 2.4</w:t>
      </w:r>
    </w:p>
    <w:p>
      <w:r>
        <w:t>Aus den Einwänden des Beschwerdeführers ergibt sich auch keine Verletzung der Maxime der freien Beweiswürdigung ( Art. 10 Abs. 2 StPO und Art. 249 aBStP), wonach das Gericht frei von Beweisregeln und nur nach seiner persönlichen Ansicht aufgrund gewissenhafter Prüfung darüber entscheidet, ob es eine Tatsache für erwiesen hält (vgl. BGE 138 IV 47 E. 2.3 ; 133 I 33 E. 2.1; je mit Hinweisen).</w:t>
      </w:r>
    </w:p>
    <w:p>
      <w:r>
        <w:rPr>
          <w:b/>
        </w:rPr>
        <w:t>E. 3</w:t>
      </w:r>
    </w:p>
    <w:p>
      <w:r>
        <w:t>Das Vorbringen des Beschwerdeführers, Art. 189 StGB sei verletzt, weil das Streicheln der Beine beim zweiten Vorfall keine sexuelle Handlung darstelle (Beschwerde S. 13), zielt ins Leere. Er wurde deswegen nicht verurteilt. Es kann auf die rechtliche Würdigung der Vorinstanz verwiesen werden (Urteil S. 26 f. E. 6.4). Soweit der Beschwerdeführer auch beim zweiten Vorfall eine Verletzung des Grundsatzes der freien Beweiswürdigung ( Art. 10 Abs. 2 StPO ) und eine willkürliche Beweiswürdigung ( Art. 9 BV ) rügt (Beschwerde S. 12-15), ist auf die Beschwerde mangels Begründung nicht einzutreten. Inwiefern die Vorinstanz auf der Grundlage der von ihr festgestellten Tatsachen den Tatbestand der sexuellen Nötigung zu Unrecht bejaht, wird in der Beschwerde nicht dargelegt und ist nicht ersichtlich.</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