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6B_840/2021 vom 26. Juli 2021</w:t>
      </w:r>
    </w:p>
    <w:p>
      <w:r>
        <w:t>Bundesgericht, 2021-07-26, DE</w:t>
      </w:r>
    </w:p>
    <w:p>
      <w:r>
        <w:rPr>
          <w:b/>
        </w:rPr>
        <w:t xml:space="preserve">Quelle: </w:t>
      </w:r>
      <w:r>
        <w:t>https://mcp.opencaselaw.ch/entscheid/bger_6B_840_2021</w:t>
      </w:r>
    </w:p>
    <w:p>
      <w:r>
        <w:t>FR: TF 6B_840/2021 du 26 juillet 2021</w:t>
      </w:r>
    </w:p>
    <w:p>
      <w:r>
        <w:t>IT: TF 6B_840/2021 del 26 luglio 2021</w:t>
      </w:r>
    </w:p>
    <w:p>
      <w:pPr>
        <w:pStyle w:val="Heading2"/>
      </w:pPr>
      <w:r>
        <w:t>Erwägungen</w:t>
      </w:r>
    </w:p>
    <w:p>
      <w:r>
        <w:rPr>
          <w:b/>
        </w:rPr>
        <w:t>E. 1</w:t>
      </w:r>
    </w:p>
    <w:p>
      <w:r>
        <w:t>Staatsanwaltschaft Zürich-Sihl, Postfach, 8036 Zürich,</w:t>
      </w:r>
    </w:p>
    <w:p>
      <w:r>
        <w:rPr>
          <w:b/>
        </w:rPr>
        <w:t>E. 2</w:t>
      </w:r>
    </w:p>
    <w:p>
      <w:r>
        <w:t>Mit Eingabe vom 8. Juli 2021 (Poststempel) gelangt der Beschwerdeführer an das Bundesgericht und beantragt sinngemäss, der Beschluss der Vorinstanz sei aufzuheben und die Sache zur Fortführung der Strafuntersuchung an die Staatsanwaltschaft zurückzuweisen. Er ersucht um unentgeltliche Rechtspflege.</w:t>
      </w:r>
    </w:p>
    <w:p>
      <w:r>
        <w:rPr>
          <w:b/>
        </w:rPr>
        <w:t>E. 3</w:t>
      </w:r>
    </w:p>
    <w:p>
      <w:r>
        <w:t>Gemäss Art. 42 Abs. 2 BGG ist in der Beschwerdebegründung in gedrängter Form darzulegen, inwiefern der angefochtene Entscheid Recht verletzt. Die beschwerdeführende Partei hat mit ihrer Kritik an den als rechtsfehlerhaft erachteten Erwägungen der Vorinstanz anzusetzen ( BGE 142 III 364 E. 2.4).</w:t>
      </w:r>
    </w:p>
    <w:p>
      <w:r>
        <w:rPr>
          <w:b/>
        </w:rPr>
        <w:t>E. 4</w:t>
      </w:r>
    </w:p>
    <w:p>
      <w:r>
        <w:t>Die Eingabe genügt nicht den gesetzlichen Begründungsanforderungen. Selbst unter Anwendung des bei Laienbeschwerden praxisgemäss grosszügigen Massstabs an die formellen Anforderungen einer Beschwerde in Strafsachen ergibt sich aus der Eingabe nicht, inwieweit der vorinstanzliche Entscheid gegen Bundesrecht verstossen soll. Der Beschwerdeführer verkennt, dass das Bundesgericht auf eine Rechtsüberprüfung des angefochtenen Beschlusses der Vorinstanz beschränkt ist und keine weiteren Untersuchungshandlungen vorzunehmen hat. Zu den rechtlichen Erwägungen, mit denen die Vorinstanz auf 25 Seiten die Einstellungsverfügung der Beschwerdegegnerin 1 schützt, setzt er sich inhaltlich nicht auseinander, weshalb eine rechtliche Überprüfung in der Sache nicht möglich ist.</w:t>
      </w:r>
    </w:p>
    <w:p>
      <w:r>
        <w:rPr>
          <w:b/>
        </w:rPr>
        <w:t>E. 5</w:t>
      </w:r>
    </w:p>
    <w:p>
      <w:r>
        <w:t>Auf die Beschwerde ist im Verfahren gemäss Art. 108 BGG nicht einzutreten. Auf eine Kostenauflage kann ausnahmsweise verzichtet werden ( Art. 66 Abs. 1 BGG ), womit das allenfalls implizit gestellte Gesuch um unentgeltliche Rechtspflege gegenstandslos würde.</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