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6B_840/2017 vom 17. Mai 2018</w:t>
      </w:r>
    </w:p>
    <w:p>
      <w:r>
        <w:t>Bundesgericht, 2018-05-17, FR</w:t>
      </w:r>
    </w:p>
    <w:p>
      <w:r>
        <w:rPr>
          <w:b/>
        </w:rPr>
        <w:t xml:space="preserve">Quelle: </w:t>
      </w:r>
      <w:r>
        <w:t>https://mcp.opencaselaw.ch/entscheid/bger_6B_840_2017</w:t>
      </w:r>
    </w:p>
    <w:p>
      <w:r>
        <w:t>FR: TF 6B_840/2017 du 17 mai 2018</w:t>
      </w:r>
    </w:p>
    <w:p>
      <w:r>
        <w:t>IT: TF 6B_840/2017 del 17 maggio 2018</w:t>
      </w:r>
    </w:p>
    <w:p>
      <w:pPr>
        <w:pStyle w:val="Heading2"/>
      </w:pPr>
      <w:r>
        <w:t>Erwägungen</w:t>
      </w:r>
    </w:p>
    <w:p>
      <w:r>
        <w:rPr>
          <w:b/>
        </w:rPr>
        <w:t>E. 1</w:t>
      </w:r>
    </w:p>
    <w:p>
      <w:r>
        <w:t>Le recourant reproche à la cour cantonale d'avoir violé le principe " in dubio pro reo ".</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 ATF 142 II 369 consid. 4.3 p. 380, auquel on peut se référer.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Lorsque, comme en l'espèce, le principe " in dubio pro reo " est critiqué en relation avec l'appréciation des preuves, il n'a pas de portée plus large que l'interdiction de l'arbitraire ( ATF 143 IV 500 consid. 1.1 p. 503 et les références citées).</w:t>
      </w:r>
    </w:p>
    <w:p>
      <w:r>
        <w:rPr>
          <w:b/>
        </w:rPr>
        <w:t>E. 1.2</w:t>
      </w:r>
    </w:p>
    <w:p>
      <w:r>
        <w:t>Le recourant reproche à la cour cantonale d'être tombée dans l'arbitraire en ne retenant pas sa version des faits selon laquelle il avait " zappé " qu'il tenait un couteau et n'avait par ailleurs pas visé de zones spécifiques, invoquant notamment le fait que le manque de lumière l'excluait.</w:t>
      </w:r>
    </w:p>
    <w:p>
      <w:r>
        <w:t>Lorsqu'il fait valoir qu'il aurait oublié, au moment où il frappait la victime, qu'il avait un couteau dans la main, le recourant cherche à substituer sa version des faits à celle retenue par la cour cantonale en se fondant uniquement de ses propres déclarations. Même constantes, celles-ci ne seraient de toute évidence pas suffisantes pour faire apparaître comme arbitraires les constatations de la cour cantonale. On peut noter de surcroît que lors de son audition par la police le 25 décembre 2015, à savoir le jour même des faits, le recourant n'a pas présenté cette version. Il a déclaré "... je tenais le couteau dans la main droite ", précisant un peu plus loin qu'il croyait le tenir non par le manche mais par la lame.</w:t>
      </w:r>
    </w:p>
    <w:p>
      <w:r>
        <w:t>Le recourant prétend également que la cour cantonale ne pouvait pas sans tomber dans l'arbitraire écarter sa version selon laquelle il n'a pas visé de zones spécifiques, la luminosité des lieux ne le permettant pas. Sur ce point également non seulement son argumentation ne repose sur aucun élément de preuve propre à remettre en question l'appréciation de la cour cantonale mais elle est en contradiction avec son audition du 25 décembre 2015, au cours de laquelle il a affirmé: " j'ai pu viser le visage grâce à la légère lumière de l'extérieur ".</w:t>
      </w:r>
    </w:p>
    <w:p>
      <w:r>
        <w:rPr>
          <w:b/>
        </w:rPr>
        <w:t>E. 1.3</w:t>
      </w:r>
    </w:p>
    <w:p>
      <w:r>
        <w:t>Le recourant allègue que c'est de manière totalement arbitraire que la cour cantonale a retenu une intention homicide de sa part.</w:t>
      </w:r>
    </w:p>
    <w:p>
      <w:r>
        <w:t>L' art. 111 CP punit d'une peine privative de liberté de cinq ans au moins celui qui aura intentionnellement tué une personne.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w:t>
      </w:r>
    </w:p>
    <w:p>
      <w:r>
        <w:t>Déterminer ce qu'une personne a su, envisagé, voulu ou accepté relève des constatations de faits ( ATF 142 IV 137 consid. 12 p. 152; 141 IV 369 consid. 6.3 p. 375); est en revanche une question de droit celle de savoir si l'autorité cantonale s'est fondée sur une juste conception du dol éventuel et si elle l'a correctement appliquée au vu des éléments retenus ( ATF 135 IV 152 consid. 2.3.2 p. 156).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w:t>
      </w:r>
    </w:p>
    <w:p>
      <w:r>
        <w:t>Il ressort des constatations de fait de la cour cantonale, qui résistent au grief d'arbitraire, que le recourant, tenant dans sa main un couteau de cuisine dont la lame faisait près de 20 cm, a asséné plusieurs coups à la victime en faisant usage d'une force certaine; il a infligé à sa victime plusieurs blessures profondes dont une dans la région du cou. Dans ces circonstances, même en admettant qu'il ne distinguait pas précisément l'endroit où il frappait il y a lieu de considérer qu'il ne pouvait qu'envisager la possibilité de toucher un organe vital ou de sectionner un vaisseau sanguin important et donc de causer une blessure ou une hémorragie fatale. Cela suffit pour établir son intention homicide sous la forme du dol éventuel.</w:t>
      </w:r>
    </w:p>
    <w:p>
      <w:r>
        <w:rPr>
          <w:b/>
        </w:rPr>
        <w:t>E. 2</w:t>
      </w:r>
    </w:p>
    <w:p>
      <w:r>
        <w:t>Le recourant soutient que la cour cantonale a violé le droit fédéral en considérant comme non excusable l'état d'émotion violente dans lequel elle a admis qu'il se trouvait.</w:t>
      </w:r>
    </w:p>
    <w:p>
      <w:r>
        <w:t>Selon l' art. 48 let . c CP, le juge atténue la peine si l'auteur a agi en proie à une émotion violente que les circonstances rendaient excusable ou s'il a agi dans un état de profond désarroi.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 ATF 119 IV 202 consid. 2a p. 203).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 ATF 107 IV 103 consid. 2b/bb p. 106). Ce n'est pas l'acte commis qui doit être excusable, mais l'état dans lequel se trouvait l'auteur ( ATF 119 IV 202 consid. 2a p. 204; 108 IV 101 consid. 3a). Il faut en outre qu'il existe une certaine proportionnalité entre la provocation, d'une part, et la réaction de l'auteur, d'autre part (arrêt 6B_622/2008 du 13 janvier 2009 consid. 8.1; 6B_517/2008 du 27 août 2008 consid. 5.3.2).</w:t>
      </w:r>
    </w:p>
    <w:p>
      <w:r>
        <w:t>Selon l'arrêt attaqué, rien dans le comportement de la compagne du recourant ou dans celui de la victime ne pouvait donner à penser au recourant qu'il existait entre eux autre chose qu'une relation d'amitié voire simplement de bon voisinage. S'il n'avait pas apprécié, moins d'une semaine plus tôt, que le voisin offre à son amie pour son anniversaire une carte et 50 fr., il avait lu la carte et pu constater qu'elle ne comportait aucun sous-entendu. Certes, son amie venait de lui mentir quant à l'endroit où elle se trouvait avant de lui avouer qu'elle était chez le voisin en pleine nuit. Il ressort toutefois de messages qu'elle lui avait adressés au cours de la nuit qu'elle n'avait pas envie de le voir puisqu'elle était partie " pour éviter tout ça ", c'est à dire une nouvelle dispute. Celles-ci étaient en effet fréquentes au sein du couple et les deux partenaires ne s'étaient pratiquement plus adressé la parole depuis deux ou trois jours.</w:t>
      </w:r>
    </w:p>
    <w:p>
      <w:r>
        <w:t>Dans ces circonstances, un homme raisonnable n'aurait pas d'emblée imaginé que la présence de son amie chez le voisin ne s'expliquait que par l'existence d'une relation intime entre eux. Il aurait cherché à comprendre la situation plutôt que de se " faire des films ", comme l'a déclaré le recourant, et de passer à l'action sans demander la moindre explication, alors même qu'il n'avait pas trouvé son amie et le voisin ensemble, la première lui ayant ouvert la porte depuis le salon alors que le second était dans sa chambre à coucher et encore à moitié endormi lorsqu'il a répondu aux hurlements du recourant. C'est donc à juste titre que la cour cantonale a considéré que l' art. 48 let . c CP n'était pas applicable car une éventuelle émotion violente ne serait de toute manière pas excusable.</w:t>
      </w:r>
    </w:p>
    <w:p>
      <w:r>
        <w:rPr>
          <w:b/>
        </w:rPr>
        <w:t>E. 3</w:t>
      </w:r>
    </w:p>
    <w:p>
      <w:r>
        <w:t>Le recourant fait grief à la cour cantonale d'avoir violé l' art. 23 al. 1 CP en ne lui accordant, en application de cette disposition, qu'une réduction modérée de sa peine.</w:t>
      </w:r>
    </w:p>
    <w:p>
      <w:r>
        <w:rPr>
          <w:b/>
        </w:rPr>
        <w:t>E. 3.1</w:t>
      </w:r>
    </w:p>
    <w:p>
      <w:r>
        <w:t>La cour cantonale ayant admis que le recourant était au bénéfice de la circonstance atténuante du repentir actif, est seule en question la portée de celle-ci sur la peine prononcée. La mesure de l'atténuation au sens de l' art. 48a CP dépend notamment de la proximité du résultat et des conséquences effectives des actes commis ( ATF 127 IV 101 consid. 2b p. 103; 121 IV 49 consid. 1b p. 54; voir aussi arrêt 6B_890/2015 du 16 décembre 2015, consid. 2.5.1).</w:t>
      </w:r>
    </w:p>
    <w:p>
      <w:r>
        <w:t>La cour cantonale a relevé d'une part que l'intervention de tiers, à savoir la compagne du recourant, les secouristes et les équipes médicales, avaient aussi été décisifs pour la survie de la victime, que les experts avaient qualifiée de miraculée, montrant à quel point celle-ci avait été proche de la mort. D'autre part elle a noté que les séquelles étaient particulièrement lourdes tant sur le plan physique que psychique. Ces éléments sont pertinents et c'est sans violer le droit fédéral que la cour cantonale n'a procédé qu'à une réduction modérée de la peine pour tenir compte du repentir actif dont a fait preuve le recourant.</w:t>
      </w:r>
    </w:p>
    <w:p>
      <w:r>
        <w:rPr>
          <w:b/>
        </w:rPr>
        <w:t>E. 4</w:t>
      </w:r>
    </w:p>
    <w:p>
      <w:r>
        <w:t>Invoquant une violation de l' art. 47 CP , le recourant reproche à la cour cantonale de n'avoir pas suffisamment tenu compte des éléments en sa faveur dans le cadre de la fixation de la peine. Selon lui, la peine prononcée ne doit pas excéder 36 mois.</w:t>
      </w:r>
    </w:p>
    <w:p>
      <w:r>
        <w:rPr>
          <w:b/>
        </w:rPr>
        <w:t>E. 4.1</w:t>
      </w:r>
    </w:p>
    <w:p>
      <w:r>
        <w:t>Conformément à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141 IV 61 et 136 IV 55, auxquels on peut se référer.</w:t>
      </w:r>
    </w:p>
    <w:p>
      <w:r>
        <w:t>Pour fixer la peine, le juge dispose d'un large pouvoir d'appréciation. Celui-ci ne viole le droit fédéral que s'il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4.2</w:t>
      </w:r>
    </w:p>
    <w:p>
      <w:r>
        <w:t>Le recourant se prévaut de sa bonne collaboration et notamment du fait qu'il s'est lui-même rendu au poste de police par ses propres moyens. Cet élément n'a pas été méconnu par la cour cantonale, qui l'a expressément relevé à deux reprises dans l'arrêt attaqué (p. 5, let. g.c et et p. 25, avant-dernier paragraphe). Il en va de même des circonstances atténuantes du repentir sincère et du repentir actif, qui ont toutes deux été admises et dûment prises en considération.</w:t>
      </w:r>
    </w:p>
    <w:p>
      <w:r>
        <w:t>C'est en revanche à juste titre que la cour cantonale n'a pas retenu l'émotion violente au sens de l' art. 48 let . c CP (cf. consid. 2 ci-dessus) et le recourant ne saurait lui faire grief de n'en avoir pas tenu compte pour fixer la peine. C'est également en vain qu'il cherche à se prévaloir du fait qu'il n'a pas d'antécédent judiciaire. La cour cantonale, qui a évoqué cette circonstance (arrêt attaqué, p. 26 consid. 3.5), a relevé avec raison qu'elle avait un effet neutre sur la fixation de la peine puisque, conformément à la jurisprudence, elle n'a en principe pas à être prise en considération dans un sens atténuant ( ATF 136 IV 1 consid. 2.6.4 p. 3).</w:t>
      </w:r>
    </w:p>
    <w:p>
      <w:r>
        <w:t>Enfin, dans la mesure où le recourant invoque le fait qu'il aurait un travail à sa sortie de prison et qu'il entendrait commencer un suivi psychothérapeutique, il fait valoir des éléments qui ne ressortent pas des constatations de l'arrêt attaqué et ne peuvent par conséquent pas être pris en considération ( art. 105 al. 1 LTF ).</w:t>
      </w:r>
    </w:p>
    <w:p>
      <w:r>
        <w:t>Il n'apparaît dès lors pas que la cour cantonale a omis de prendre en considération des éléments pertinents; elle n'est en outre pas sortie du cadre légal et la peine prononcée n'apparaît pas exagérément sévère au point de constituer un abus du large pouvoir d'appréciation dont dispose le juge. Au surplus, la peine infligée au recourant n'apparaît pas excessive eu égard à la faute très lourde qui lui est imputable, compte tenu de la gravité des lésions causées à la victime, de l'absence totale de raison d'en vouloir à celle-ci et de l'extrême violence de l'agression. Le grief de violation de l' art. 47 CP doit donc être rejeté dans la mesure de sa recevabilité. Enfin, la motivation de l'arrêt attaqué est suffisante pour permettre au recourant de comprendre la décision et de l'attaquer et le Tribunal fédéral dispose des éléments nécessaires pour exercer son contrôle, auquel il a pu procéder normalement. C'est donc également en vain que le recourant soutient que le peine prononcée a été insuffisamment motivée.</w:t>
      </w:r>
    </w:p>
    <w:p>
      <w:r>
        <w:rPr>
          <w:b/>
        </w:rPr>
        <w:t>E. 5</w:t>
      </w:r>
    </w:p>
    <w:p>
      <w:r>
        <w:t>Le recourant fait enfin valoir que le montant de 25'000 fr. alloué à la victime à titre de réparation du tort moral est totalement excessif et devrait être ramené à 10'000 francs.</w:t>
      </w:r>
    </w:p>
    <w:p>
      <w:r>
        <w:rPr>
          <w:b/>
        </w:rPr>
        <w:t>E. 5.1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des préjudices psychiques importants (arrêt 6B_1292/2016 du 2 octobre 2017 consid. 2.2; cf. ATF 141 III 97 consid. 11.2 p. 98; 132 II 117 consid. 2.2.2 p. 119).</w:t>
      </w:r>
    </w:p>
    <w:p>
      <w:r>
        <w:t>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138 III 337 consid. 6.3.1 p. 344 s. et les références citées).</w:t>
      </w:r>
    </w:p>
    <w:p>
      <w:r>
        <w:rPr>
          <w:b/>
        </w:rPr>
        <w:t>E. 5.2</w:t>
      </w:r>
    </w:p>
    <w:p>
      <w:r>
        <w:t>Le recourant ne conteste pas le principe même de l'allocation d'une indemnité pour tort moral, mais uniquement son montant.</w:t>
      </w:r>
    </w:p>
    <w:p>
      <w:r>
        <w:t>La cour cantonale a relevé que la victime, qui avait subi des blessures impliquant une éprouvante hospitalisation ainsi qu'un long suivi médical, était passée près de la mort et souffrait encore de lourdes conséquences physiques comme psychiques, qui risquent de l'handicaper durablement.</w:t>
      </w:r>
    </w:p>
    <w:p>
      <w:r>
        <w:t>Le recourant soutient que c'est à tort que la cour cantonale a retenu que la victime avait souffert de ses blessures et de l'éprouvante hospitalisation. Selon lui, la victime s'est vite rétablie puisqu'une semaine après les faits elle n'aurait quasi plus présenté de craintes ni d'angoisse. Il invoque en outre le fait qu'elle a interrompu son suivi psychologique après seulement quelques séances.</w:t>
      </w:r>
    </w:p>
    <w:p>
      <w:r>
        <w:t>Ces affirmations ne ressortent pas des constatations de la cour cantonale qui lient le Tribunal fédéral conformément à l' art. 105 al. 1 LTF . Au contraire, le premier certificat médical évoqué par la cour cantonale (arrêt attaqué, let. g.b.b, p. 15) mentionne qu'en novembre 2016 la victime était toujours gênée par des douleurs et très handicapée par les suites psychologiques de son agression, vivant dans un état d'insécurité permanent, ayant peur de tout et faisant des crises d'angoisse, au point de ne pas pouvoir rester seule chez elle. Il relève en outre des pertes de mémoire et des troubles de la concentration rendant tout travail suivi inexécutable. Le second certificat, établi par une psychothérapeute qui a suivi la victime d'avril à août 2016, relève que ce n'est qu'après quelques mois que la victime a semblé réaliser progressivement ce qui lui était arrivé et les graves conséquences sur son quotidien, ce qui a entraîné une dégradation considérable de son fonctionnement au point qu'elle n'a plus pu venir aux séances. La psychothérapeute fait également état de troubles de la mémoire ainsi que de la concentration, de fatigabilité accrue, de troubles d'ordre post-traumatique, d'ordre dépressif et d'ordre anxieux ainsi que de graves séquelles physiques et neurologiques, dont certaines irréversibles et permanentes, d'un risque d'invalidité et d'un isolement familial et social. Elle note enfin le fait que l'agression a été commise à une date symbolique, Noël, avec pour conséquence que la victime sera amenée à la revivre chaque année à cette occasion.</w:t>
      </w:r>
    </w:p>
    <w:p>
      <w:r>
        <w:t>Sur la base de ces éléments, le montant de 25'000 fr. alloué par la cour cantonale est proportionné aux souffrances subies par la victime et ne viole pas le droit fédéral.</w:t>
      </w:r>
    </w:p>
    <w:p>
      <w:r>
        <w:rPr>
          <w:b/>
        </w:rPr>
        <w:t>E. 6</w:t>
      </w:r>
    </w:p>
    <w:p>
      <w:r>
        <w:t>Mal fondé, le recours doit être rejeté dans la mesure où il est recevable.</w:t>
      </w:r>
    </w:p>
    <w:p>
      <w:r>
        <w:t>Comme les conclusions étaient dépourvues de chances de succès, l'assistance judiciaire ne peut être accordée ( art. 64 al. 1 LTF ). Le recourant,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