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6B_839/2023 vom 21. Juni 2023</w:t>
      </w:r>
    </w:p>
    <w:p>
      <w:r>
        <w:t>Bundesgericht, 2023-06-21, FR</w:t>
      </w:r>
    </w:p>
    <w:p>
      <w:r>
        <w:rPr>
          <w:b/>
        </w:rPr>
        <w:t xml:space="preserve">Quelle: </w:t>
      </w:r>
      <w:r>
        <w:t>https://mcp.opencaselaw.ch/entscheid/bger_6B_839_2023</w:t>
      </w:r>
    </w:p>
    <w:p>
      <w:r>
        <w:t>FR: TF 6B_839/2023 du 21 juin 2023</w:t>
      </w:r>
    </w:p>
    <w:p>
      <w:r>
        <w:t>IT: TF 6B_839/2023 del 21 giugno 2023</w:t>
      </w:r>
    </w:p>
    <w:p>
      <w:pPr>
        <w:pStyle w:val="Heading2"/>
      </w:pPr>
      <w:r>
        <w:t>Erwägungen</w:t>
      </w:r>
    </w:p>
    <w:p>
      <w:r>
        <w:rPr>
          <w:b/>
        </w:rPr>
        <w:t>E. 1</w:t>
      </w:r>
    </w:p>
    <w:p>
      <w:r>
        <w:t>Par jugement du 24 novembre 2020, le Tribunal du district de Monthey a condamné A._________ pour injure ( art. 177 al. 1 CP ) à une peine pécuniaire de 30 jours-amende, à 10 fr., et a révoqué les sursis lui ayant été accordés les 11 juillet 2019 et 2 juin 2020 portant sur des peines privatives de liberté de 300 jours au total, sous déduction de 112 jours de détention subie avant jugement.</w:t>
      </w:r>
    </w:p>
    <w:p>
      <w:r>
        <w:rPr>
          <w:b/>
        </w:rPr>
        <w:t>E. 2</w:t>
      </w:r>
    </w:p>
    <w:p>
      <w:r>
        <w:t>Statuant par jugement du 26 avril 2023, la Cour pénale I du Tribunal cantonal valaisan a rejeté l'appel formé par A._________ contre le jugement du 24 novembre 2020, qu'elle a confirmé.</w:t>
      </w:r>
    </w:p>
    <w:p>
      <w:r>
        <w:rPr>
          <w:b/>
        </w:rPr>
        <w:t>E. 3</w:t>
      </w:r>
    </w:p>
    <w:p>
      <w:r>
        <w:t>Par acte daté du 16 juin 2023, A._________ forme un recours en matière pénale au Tribunal fédéral contre le jugement du 26 avril 2023.</w:t>
      </w:r>
    </w:p>
    <w:p>
      <w:r>
        <w:rPr>
          <w:b/>
        </w:rPr>
        <w:t>E. 4</w:t>
      </w:r>
    </w:p>
    <w:p>
      <w:r>
        <w:t>Conformément à l' art. 100 al. 1 LTF , le recours contre une décision doit être déposé devant le Tribunal fédéral dans les trente jours qui suivent sa notification.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w:t>
      </w:r>
    </w:p>
    <w:p>
      <w:r>
        <w:t>En l'espèce, le jugement attaqué a été notifié au conseil du recourant en date du 26 avril 2023, de sorte que le délai de recours est arrivé à échéance le 26 mai 2023. Il s'ensuit que le recours, qui a été déposé par le recourant le 16 juin 2023, est manifestement tardif. Il est par conséquent irrecevable.</w:t>
      </w:r>
    </w:p>
    <w:p>
      <w:r>
        <w:rPr>
          <w:b/>
        </w:rPr>
        <w:t>E. 5</w:t>
      </w:r>
    </w:p>
    <w:p>
      <w:r>
        <w:t>Au vu de ce qui précède, l'irrecevabilité s'avère manifeste et doit être constatée dans la procédure prévue par l' art. 108 al. 1 let. a LTF . Le présent arrêt est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