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839/2011 vom 21. Februar 2012</w:t>
      </w:r>
    </w:p>
    <w:p>
      <w:r>
        <w:t>Bundesgericht, 2012-02-21, FR</w:t>
      </w:r>
    </w:p>
    <w:p>
      <w:r>
        <w:rPr>
          <w:b/>
        </w:rPr>
        <w:t xml:space="preserve">Quelle: </w:t>
      </w:r>
      <w:r>
        <w:t>https://mcp.opencaselaw.ch/entscheid/bger_6B_839_2011</w:t>
      </w:r>
    </w:p>
    <w:p>
      <w:r>
        <w:t>FR: TF 6B 839/2011 du 21 février 2012</w:t>
      </w:r>
    </w:p>
    <w:p>
      <w:r>
        <w:t>IT: TF 6B 839/2011 del 21 febbraio 2012</w:t>
      </w:r>
    </w:p>
    <w:p>
      <w:pPr>
        <w:pStyle w:val="Heading2"/>
      </w:pPr>
      <w:r>
        <w:t>Regeste</w:t>
      </w:r>
    </w:p>
    <w:p>
      <w:r>
        <w:t>Qualité pour recourir | Infractions</w:t>
      </w:r>
    </w:p>
    <w:p>
      <w:pPr>
        <w:pStyle w:val="Heading2"/>
      </w:pPr>
      <w:r>
        <w:t>Erwägungen</w:t>
      </w:r>
    </w:p>
    <w:p>
      <w:r>
        <w:rPr>
          <w:b/>
        </w:rPr>
        <w:t>E. 1.1</w:t>
      </w:r>
    </w:p>
    <w:p>
      <w:r>
        <w:t>Le Tribunal fédéral examine d'office et librement la recevabilité des recours qui lui sont soumis ( ATF 136 V 141 consid. 1 p. 142). L'arrêt attaqué a été rendu le 15 novembre 2011. Conformément à l' art. 132 al. 1 LTF , la qualité pour recourir de l'intéressé s'examine au regard de l' art. 81 LTF dans sa teneur en vigueur au 1er janvier 2011.</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 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celles-ci et pourquoi elle n'a pas été en mesure d'agir dans le cadre de la procédure pénale ( ATF 131 IV 195 consid. 1.1.1 p. 196; 127 IV 185 consid. 1a p. 187). Si la partie plaignante n'est pas à même de chiffrer ses conclusions civiles, notamment parce que son dommage n'est pas encore ou pas suffisamment établi, elle doit indiquer quelles sortes de prétentions civiles elle entend faire valoir et requérir au moins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victime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 ATF 127 IV 185 consid. 1a p. 187 et les arrêts cités).</w:t>
      </w:r>
    </w:p>
    <w:p>
      <w:r>
        <w:rPr>
          <w:b/>
        </w:rPr>
        <w:t>E. 1.3</w:t>
      </w:r>
    </w:p>
    <w:p>
      <w:r>
        <w:t>En l'espèce, la procédure pénale a été menée jusqu'au stade du jugement, ce qui aurait dû permettre au recourant de faire valoir ses prétentions civiles. Ni le jugement de première instance ni le jugement attaqué ne statuent sur des conclusions civiles. Dans sa déclaration d'appel devant l'autorité précédente, le recourant a uniquement conclu à l'annulation de l'acquittement des intimés pour abus de confiance (cf. art. 138 CP ), escroquerie (cf. art. 146 CP ), gestion déloyale (cf. art. 158 CP ), et à leur condamnation aux peines requises par le Ministère public. Autrement dit, il a limité ses conclusions à un verdict de culpabilité sans articuler de conclusions au plan civil. L'objet de l'appel était ainsi circonscrit. Ce faisant, le recourant n'a pas pris de conclusions civiles sur le fond en instance cantonale. Il lui incombait donc d'exposer dans son recours au Tribunal fédéral les raisons de son abstention, ce d'autant qu'au regard de ses explications, le dossier contenait les éléments permettant de déterminer le dommage invoqué (cf. recours, ch. 42, p. 12). Or, il n'en dit rien. Dans ces conditions, le recourant n'établit pas avoir un intérêt juridique au recours et n'a pas qualité pour recourir au sens de l'art. 81 al. 1 let. b ch. 5 LTF. Par conséquent, il ne peut pas contester, comme il le fait, l'application de la loi matérielle ou l'établissement des faits. Tout au plus, le recourant pourrait-il être habilité à se plaindre d'une violation de ses droits de partie équivalant à un déni de justice formel, sans toutefois pouvoir faire valoir par ce biais, même indirectement, des moyens qui ne peuvent être séparés du fond (cf. ATF 136 IV 29 consid. 1.9 et les réf. cit.). Le recourant ne formule aucun grief recevable au regard de l' art. 106 al. 2 LTF tiré d'une violation de ses droits de partie.</w:t>
      </w:r>
    </w:p>
    <w:p>
      <w:r>
        <w:rPr>
          <w:b/>
        </w:rPr>
        <w:t>E. 2</w:t>
      </w:r>
    </w:p>
    <w:p>
      <w:r>
        <w:t>Il résulte de ce qui précède que 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