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836/2020 vom 14. August 2020</w:t>
      </w:r>
    </w:p>
    <w:p>
      <w:r>
        <w:t>Bundesgericht, 2020-08-14, FR</w:t>
      </w:r>
    </w:p>
    <w:p>
      <w:r>
        <w:rPr>
          <w:b/>
        </w:rPr>
        <w:t xml:space="preserve">Quelle: </w:t>
      </w:r>
      <w:r>
        <w:t>https://mcp.opencaselaw.ch/entscheid/bger_6B_836_2020</w:t>
      </w:r>
    </w:p>
    <w:p>
      <w:r>
        <w:t>FR: TF 6B 836/2020 du 14 août 2020</w:t>
      </w:r>
    </w:p>
    <w:p>
      <w:r>
        <w:t>IT: TF 6B 836/2020 del 14 agosto 2020</w:t>
      </w:r>
    </w:p>
    <w:p>
      <w:pPr>
        <w:pStyle w:val="Heading2"/>
      </w:pPr>
      <w:r>
        <w:t>Regeste</w:t>
      </w:r>
    </w:p>
    <w:p>
      <w:r>
        <w:t>Retrait de l'appel ; irrecevabilité du recours | Droit pénal (en général)</w:t>
      </w:r>
    </w:p>
    <w:p>
      <w:pPr>
        <w:pStyle w:val="Heading2"/>
      </w:pPr>
      <w:r>
        <w:t>Erwägungen</w:t>
      </w:r>
    </w:p>
    <w:p>
      <w:r>
        <w:rPr>
          <w:b/>
        </w:rPr>
        <w:t>E. 1</w:t>
      </w:r>
    </w:p>
    <w:p>
      <w:r>
        <w:t>Par jugement du 25 novembre 2019, le Tribunal de police de l'arrondissement de La Côte a libéré B.________ du chef de prévention de violation du domaine secret ou du domaine privé au moyen d'un appareil de prise de vues. A.________ et C.________ - parties plaignantes - ont formé appel contre ce jugement. Durant les débats d'appel tenus le 4 juin 2020, les parties ont conclu une convention transactionnelle et les prénommés ont retiré leur appel. Par décision du 4 juin 2020, la Cour d'appel pénale du Tribunal cantonal du canton de Vaud a pris acte du retrait de l'appel et a rayé la cause du rôle. A.________ forme un recours en matière pénale au Tribunal fédéral contre la décision du 4 juin 2020.</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l'occurrence, la recourante ne prend aucune conclusion formelle dans son mémoire de recours, de sorte qu'on ignore ce qu'elle entend précisément obtenir. Par ailleurs, elle développe une argumentation hors de propos, consacrée au fond de la cause, lequel n'a aucunement été traité par la cour cantonale dans la décision attaquée. Enfin, la recourante revient longuement sur le déroulement des débats d'appel tenus par l'autorité précédente, au terme desquels l'appel a été retiré. C'est pourtant en vain que l'on cherche, dans ces développements, un grief topique, motivé à satisfaction au regard des art. 42 al. 2 et 106 al. 2 LTF, propre à démontrer que la cour cantonale aurait pu violer le droit.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