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835/2019 vom 12. August 2019</w:t>
      </w:r>
    </w:p>
    <w:p>
      <w:r>
        <w:t>Bundesgericht, 2019-08-12, FR</w:t>
      </w:r>
    </w:p>
    <w:p>
      <w:r>
        <w:rPr>
          <w:b/>
        </w:rPr>
        <w:t xml:space="preserve">Quelle: </w:t>
      </w:r>
      <w:r>
        <w:t>https://mcp.opencaselaw.ch/entscheid/bger_6B_835_2019</w:t>
      </w:r>
    </w:p>
    <w:p>
      <w:r>
        <w:t>FR: TF 6B 835/2019 du 12 août 2019</w:t>
      </w:r>
    </w:p>
    <w:p>
      <w:r>
        <w:t>IT: TF 6B 835/2019 del 12 agosto 2019</w:t>
      </w:r>
    </w:p>
    <w:p>
      <w:pPr>
        <w:pStyle w:val="Heading2"/>
      </w:pPr>
      <w:r>
        <w:t>Regeste</w:t>
      </w:r>
    </w:p>
    <w:p>
      <w:r>
        <w:t>Irrecevabilité formelle du recours en matière pénale | Procédure pénale</w:t>
      </w:r>
    </w:p>
    <w:p>
      <w:pPr>
        <w:pStyle w:val="Heading2"/>
      </w:pPr>
      <w:r>
        <w:t>Erwägungen</w:t>
      </w:r>
    </w:p>
    <w:p>
      <w:r>
        <w:rPr>
          <w:b/>
        </w:rPr>
        <w:t>E. 1</w:t>
      </w:r>
    </w:p>
    <w:p>
      <w:r>
        <w:t>A.________ et son époux ont contracté plusieurs prêts hypothécaires auprès de X.________. Le 7 novembre 2016, X.________ a résilié les contrats concernés. Par la suite, elle a fait notifier à la prénommée un commandement de payer portant sur une somme totale de 3'100'000 fr. avec intérêts, puis a obtenu la mainlevée provisoire de l'opposition qui avait été formée contre celui-ci. Le 22 janvier 2018, A.________ a déposé plainte pénale contre X.________ et contre inconnu pour "fraude hypothécaire organisée", en dénonçant des infractions d'escroquerie, de participation à une organisation criminelle et d'usure. Elle a, par la suite, complété cette plainte le 27 août 2018. Par ordonnance du 7 mars 2019, le Ministère public central vaudois, division criminalité économique, a refusé d'entrer en matière sur cette plainte. Par arrêt du 10 mai 2019, la Chambre des recours pénale du Tribunal cantonal du canton de Vaud a rejeté le recours formé par A.________ contre cette ordonnance et a confirmé celle-ci. A.________ forme un recours en matière pénale au Tribunal fédéral contre l'arrêt du 10 mai 2019.</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 En l'espèce, la recourante ne formule pas de conclusions formelles au sens de l' art. 42 al. 1 LTF , mais énonce diverses requêtes qui ne permettent pas de comprendre en quoi elle souhaite précisément voir la décision attaquée modifiée. L'intéressée n'évoque par ailleurs aucunement la question de sa qualité pour recourir au Tribunal fédéral, en particulier relativement aux prétentions civiles qu'elle pourrait déduire des infractions dénoncées (cf. art. 81 al. 1 let. b ch. 5 LTF). Enfin, c'est en vain que l'on cherche, dans le mémoire de recours, un grief topique dirigé contre l'arrêt attaqué, la recourante se bornant à discuter - de manière purement appellatoire - la légitimité des prétentions émises par X.________ à son encontre dans le cadre de leurs rapports contractuels, sans exposer en quoi la cour cantonale aurait pu violer le droit. Pour le surplus, la recourante demande au Tribunal fédéral d'examiner différentes questions dont on ne perçoit pas le rapport avec la décision attaquée, et produit de nombreuses pièces qui, si elles ne ressortent pas déjà du dossier cantonal, sont irrecevables (cf. art. 99 al. 1 LTF ). Faute de satisfaire aux conditions de recevabilité d'un recours en matière pénale au Tribunal fédéral (cf. art. 42 al. 1 et 2 ; 106 al. 2 LTF ), le recours doit être déclaré irrecevable en application de l' art. 108 al. 1 let. a et b LTF .</w:t>
      </w:r>
    </w:p>
    <w:p>
      <w:r>
        <w:rPr>
          <w:b/>
        </w:rPr>
        <w:t>E. 3</w:t>
      </w:r>
    </w:p>
    <w:p>
      <w:r>
        <w:t>Le recours est irrecevable.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