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835/2011 vom 29. Februar 2012</w:t>
      </w:r>
    </w:p>
    <w:p>
      <w:r>
        <w:t>Bundesgericht, 2012-02-29, FR</w:t>
      </w:r>
    </w:p>
    <w:p>
      <w:r>
        <w:rPr>
          <w:b/>
        </w:rPr>
        <w:t xml:space="preserve">Quelle: </w:t>
      </w:r>
      <w:r>
        <w:t>https://mcp.opencaselaw.ch/entscheid/bger_6B_835_2011</w:t>
      </w:r>
    </w:p>
    <w:p>
      <w:r>
        <w:t>FR: TF 6B 835/2011 du 29 février 2012</w:t>
      </w:r>
    </w:p>
    <w:p>
      <w:r>
        <w:t>IT: TF 6B 835/2011 del 29 febbraio 2012</w:t>
      </w:r>
    </w:p>
    <w:p>
      <w:pPr>
        <w:pStyle w:val="Heading2"/>
      </w:pPr>
      <w:r>
        <w:t>Regeste</w:t>
      </w:r>
    </w:p>
    <w:p>
      <w:r>
        <w:t>Décisions sujettes à recours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et librement la recevabilité des recours qui lui sont soumis ( ATF 136 II 101 consid. 1 p. 103).</w:t>
      </w:r>
    </w:p>
    <w:p>
      <w:r>
        <w:rPr>
          <w:b/>
        </w:rPr>
        <w:t>E. 1.1</w:t>
      </w:r>
    </w:p>
    <w:p>
      <w:r>
        <w:t>Les recours au Tribunal fédéral sont recevables contre les décisions finales (cf. art. 90 LTF ), les décisions partielles (cf. art. 91 LTF ) et les décisions préjudicielles ou incidentes (cf. art. 92 et 93 LTF ).</w:t>
      </w:r>
    </w:p>
    <w:p>
      <w:r>
        <w:rPr>
          <w:b/>
        </w:rPr>
        <w:t>E. 1.2</w:t>
      </w:r>
    </w:p>
    <w:p>
      <w:r>
        <w:t>L'ordonnance attaquée - qui renvoie la cause au Tribunal de police en vue de la notification régulière du jugement intégralement motivé et réserve la suite de la procédure d'appel - ne met pas un terme à la procédure pénale ouverte contre le recourant. Elle ne constitue donc pas une décision finale (cf. art. 90 LTF ).</w:t>
      </w:r>
    </w:p>
    <w:p>
      <w:r>
        <w:rPr>
          <w:b/>
        </w:rPr>
        <w:t>E. 1.3</w:t>
      </w:r>
    </w:p>
    <w:p>
      <w:r>
        <w:t>L'ordonnance cantonale ne statue pas sur une question dont le sort serait indépendant de celui qui reste en cause (cf. art. 91 let. a LTF ) et il n'y a pas de consorts (cf. art. 91 let. b LTF ). Elle ne revêt donc pas non plus les caractéristiques d'une décision partielle (cf. art. 91 LTF ).</w:t>
      </w:r>
    </w:p>
    <w:p>
      <w:r>
        <w:rPr>
          <w:b/>
        </w:rPr>
        <w:t>E. 1.4</w:t>
      </w:r>
    </w:p>
    <w:p>
      <w:r>
        <w:t>En tant qu'elle commande le renvoi de la cause au Tribunal de police pour notification régulière du jugement intégralement motivé, l'ordonnance attaquée ne cause pas non plus un préjudice juridique irréparable à l'intéressé (cf. ATF 135 I 261 consid. 1.2 p. 263). On ne se trouve pas davantage dans un cas où l'admission du recours pourrait conduire immédiatement à une décision finale susceptible d'éviter une procédure probatoire longue et coûteuse. A tout le moins, le contraire ne ressortit à l'évidence ni de la cause elle-même, ni du recours (cf. ATF 133 IV 288 consid. 3.2 p. 292). Faute ainsi de répondre aux réquisits de l' art. 93 al. 1 let. a et b LTF , l'ordonnance attaquée ne constitue ni une décision préjudicielle, ni une décision incidente (cf. art. 92 et 93 LTF ).</w:t>
      </w:r>
    </w:p>
    <w:p>
      <w:r>
        <w:rPr>
          <w:b/>
        </w:rPr>
        <w:t>E. 1.5</w:t>
      </w:r>
    </w:p>
    <w:p>
      <w:r>
        <w:t>Sur le vu de ce qui précède, le jugement attaqué n'est pas susceptible de faire l'objet d'un recours au Tribunal fédéral.</w:t>
      </w:r>
    </w:p>
    <w:p>
      <w:r>
        <w:rPr>
          <w:b/>
        </w:rPr>
        <w:t>E. 2</w:t>
      </w:r>
    </w:p>
    <w:p>
      <w:r>
        <w:t>L'arrêt est exceptionnellement rendu sans frais ( art. 66 al. 1 LTF ). Par ces motifs, le Juge unique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