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6B_830/2016 vom 8. Dezember 2016</w:t>
      </w:r>
    </w:p>
    <w:p>
      <w:r>
        <w:t>Bundesgericht, 2016-12-08, DE</w:t>
      </w:r>
    </w:p>
    <w:p>
      <w:r>
        <w:rPr>
          <w:b/>
        </w:rPr>
        <w:t xml:space="preserve">Quelle: </w:t>
      </w:r>
      <w:r>
        <w:t>https://mcp.opencaselaw.ch/entscheid/bger_6B_830_2016</w:t>
      </w:r>
    </w:p>
    <w:p>
      <w:r>
        <w:t>FR: TF 6B_830/2016 du 8 décembre 2016</w:t>
      </w:r>
    </w:p>
    <w:p>
      <w:r>
        <w:t>IT: TF 6B_830/2016 del 8 dicembre 2016</w:t>
      </w:r>
    </w:p>
    <w:p>
      <w:pPr>
        <w:pStyle w:val="Heading2"/>
      </w:pPr>
      <w:r>
        <w:t>Erwägungen</w:t>
      </w:r>
    </w:p>
    <w:p>
      <w:r>
        <w:rPr>
          <w:b/>
        </w:rPr>
        <w:t>E. 1</w:t>
      </w:r>
    </w:p>
    <w:p>
      <w:r>
        <w:t>Das Kantonsgericht von Graubünden trat am 15. Juli 2016 auf eine Beschwerde nicht ein, weil der Beschwerdeführer, welcher nicht um unentgeltliche Rechtspflege ersucht hatte, die verlangte Sicherheitsleistung von Fr. 500.-- nicht bezahlte. In der Eingabe vor Bundesgericht befasst sich der Beschwerdeführer mit der Sicherheitsleistung im kantonalen Verfahren nicht, weshalb die Beschwerde die Begründungsanforderungen von Art. 42 Abs. 2 BGG nicht erfüllt. Er äussert sich nur materiell zur Sache, womit sich das Bundesgericht indessen nicht befassen kann. Auf die Beschwerde ist im Verfahren nach Art. 108 BGG nicht einzutreten.</w:t>
      </w:r>
    </w:p>
    <w:p>
      <w:r>
        <w:rPr>
          <w:b/>
        </w:rPr>
        <w:t>E. 2</w:t>
      </w:r>
    </w:p>
    <w:p>
      <w:r>
        <w:t>Die Gerichtskosten sind dem Beschwerdeführer aufzuerlegen ( Art. 66 Abs. 1 BGG ). Das nachträglich gestellte Gesuch um unentgeltliche Rechtspflege ist in Anwendung von Art. 64 BGG wegen Aussichtslosigkeit abzuweisen.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