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830/2014 vom 11. September 2014</w:t>
      </w:r>
    </w:p>
    <w:p>
      <w:r>
        <w:t>Bundesgericht, 2014-09-11, DE</w:t>
      </w:r>
    </w:p>
    <w:p>
      <w:r>
        <w:rPr>
          <w:b/>
        </w:rPr>
        <w:t xml:space="preserve">Quelle: </w:t>
      </w:r>
      <w:r>
        <w:t>https://mcp.opencaselaw.ch/entscheid/bger_6B_830_2014</w:t>
      </w:r>
    </w:p>
    <w:p>
      <w:r>
        <w:t>FR: TF 6B 830/2014 du 11 septembre 2014</w:t>
      </w:r>
    </w:p>
    <w:p>
      <w:r>
        <w:t>IT: TF 6B 830/2014 del 11 settembre 2014</w:t>
      </w:r>
    </w:p>
    <w:p>
      <w:pPr>
        <w:pStyle w:val="Heading2"/>
      </w:pPr>
      <w:r>
        <w:t>Regeste</w:t>
      </w:r>
    </w:p>
    <w:p>
      <w:r>
        <w:t>Nichtanhandnahme (üble Nachrede, Verleumdung) | Strafprozess</w:t>
      </w:r>
    </w:p>
    <w:p>
      <w:pPr>
        <w:pStyle w:val="Heading2"/>
      </w:pPr>
      <w:r>
        <w:t>Erwägungen</w:t>
      </w:r>
    </w:p>
    <w:p>
      <w:r>
        <w:rPr>
          <w:b/>
        </w:rPr>
        <w:t>E. 1</w:t>
      </w:r>
    </w:p>
    <w:p>
      <w:r>
        <w:t>Der Beschwerdeführer erstattete am 10. Dezember 2013 gegen zwei Staatsanwälte des Kantons Aargau Strafanzeige wegen mehrfacher übler Nachrede und eventuell Verleumdung. Die Oberstaatsanwaltschaft des Kantons Aargau nahm die Sache am 6. Februar 2014 nicht an die Hand. Eine dagegen gerichtete Beschwerde wies das Obergericht des Kantons Aargau am 23. Juli 2014 ab. Der Beschwerdeführer wendet sich ans Bundesgericht und beantragt, die Entscheide vom 23. Juli und 6. Februar 2014 seien aufzuheben. Die Oberstaatsanwaltschaft sei anzuweisen, die Strafuntersuchung an die Hand zu nehmen.</w:t>
      </w:r>
    </w:p>
    <w:p>
      <w:r>
        <w:rPr>
          <w:b/>
        </w:rPr>
        <w:t>E. 2</w:t>
      </w:r>
    </w:p>
    <w:p>
      <w:r>
        <w:t>Gemäss Art. 81 Abs. 1 lit. b Ziff. 5 BGG ist der Privatkläger zur Beschwerde in Strafsachen nur berechtigt, wenn der angefochtene Entscheid sich auf die Beurteilung seiner Zivilansprüche auswirken kann. Als Zivilansprüche im Sinne von Art. 81 Abs. 1 lit. b Ziff. 5 BGG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6B_530/2013 vom 13. September 2013). Der Beschwerdeführer kann gegen die angeblich fehlbaren Staatsanwälte keine Zivilforderungen geltend machen. Gemäss § 2 Abs. 1 des Verantwortlichkeitsgesetzes des Kantons Aargau sind der Staat und die Gemeinden pflichtig, für Schaden Ersatz zu leisten, der Dritten durch Amtspersonen in Ausübung ihres Dienstes widerrechtlich zugefügt wird. Sie haben auch Genugtuungsleistungen zu übernehmen, wenn deren Voraussetzungen gegeben sind (Abs. 2). Das direkte Klagerecht der Dritten gegen die fehlbaren Amtspersonen ist ausgeschlossen (Abs. 3). Auf die Beschwerde ist mangels Legitimation des Beschwerdeführers im Verfahren nach Art. 108 BGG nicht einzutreten.</w:t>
      </w:r>
    </w:p>
    <w:p>
      <w:r>
        <w:rPr>
          <w:b/>
        </w:rPr>
        <w:t>E. 3</w:t>
      </w:r>
    </w:p>
    <w:p>
      <w:r>
        <w:t>Die Gerichtskosten sind dem Beschwerdeführer aufzuerlegen ( Art. 66 Abs. 1 BGG ). Das Gesuch um unentgeltliche Rechtspflege ist in Anwendung von Art. 64 BGG abzuweisen, weil die Rechtsbegehren aussichtslos erschienen. Aus den Angaben in der Beschwerde ergibt sich im Übrigen nicht, dass der Beschwerdeführer bedürftig ist. Zum einen gehören einige Beträge nicht zum Existenzminimum, und zum anderen legt er seine Vermögenssituation nicht dar (vgl. Beschwerde S. 9). Unter diesen Umständen kommt eine Reduktion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