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6B_830/2013 vom 10. Dezember 2013</w:t>
      </w:r>
    </w:p>
    <w:p>
      <w:r>
        <w:t>Bundesgericht, 2013-12-10, DE</w:t>
      </w:r>
    </w:p>
    <w:p>
      <w:r>
        <w:rPr>
          <w:b/>
        </w:rPr>
        <w:t xml:space="preserve">Quelle: </w:t>
      </w:r>
      <w:r>
        <w:t>https://mcp.opencaselaw.ch/entscheid/bger_6B_830_2013</w:t>
      </w:r>
    </w:p>
    <w:p>
      <w:r>
        <w:t>FR: TF 6B_830/2013 du 10 décembre 2013</w:t>
      </w:r>
    </w:p>
    <w:p>
      <w:r>
        <w:t>IT: TF 6B_830/2013 del 10 dicembre 2013</w:t>
      </w:r>
    </w:p>
    <w:p>
      <w:pPr>
        <w:pStyle w:val="Heading2"/>
      </w:pPr>
      <w:r>
        <w:t>Erwägungen</w:t>
      </w:r>
    </w:p>
    <w:p>
      <w:r>
        <w:rPr>
          <w:b/>
        </w:rPr>
        <w:t>E. 1.1</w:t>
      </w:r>
    </w:p>
    <w:p>
      <w:r>
        <w:t>Der Beschwerdeführer erklärte gegenüber der Polizei, die Einschleichdiebstähle hätten jeweils am Samstagnachmittag zwischen dem 13. Oktober 2012 und dem 30. Januar 2013 stattgefunden, als er mit seiner Frau (B.X.________) am Einkaufen gewesen sei. B.X.________ habe Y.________ (Beschwerdegegnerin 2) öfter sagen hören "Jetzt sind sie dann wieder weg, dann kann ich rüber" oder "die sind ja immer zu Hause, da kann ich ja nie rüber." Es seien vier Winterpneus, ein Schmuckkoffer mit Inhalt, Kosmetika, Bargeld, ein Cumulus-Bon, Rösti, Reis, Saucen, DVDs, zwei Küchenmessersets, Kleinmöbel und vier Solar-Gartenfiguren im Gesamtwert von Fr. 7'253.50 gestohlen worden. Der Beschwerdeführer hielt gegenüber der Polizei fest, B.X.________ könne nicht als Auskunftsperson erscheinen, weil sie dazu aufgrund der Vorfälle psychisch nicht in der Lage sei und ausserdem das Haus bewachen müsse.</w:t>
      </w:r>
    </w:p>
    <w:p>
      <w:r>
        <w:t>Am 10. Februar 2013 wurde B.X.________ als Auskunftsperson durch die Polizei einvernommen. Sie wiederholte im Wesentlichen die Aussagen des Beschwerdeführers und führte zusätzlich aus, es interessiere die Beschwerdegegnerin 2, wann sie zu Hause seien und wann nicht. Sie rieche es, nachdem die Beschwerdegegnerin 2 im Haus gewesen sei. Die Einschleichdiebstähle seien jeweils am Samstagnachmittag verübt worden, als sie und der Beschwerdeführer auf Einkaufstour gewesen seien. Danach sei der Briefkasten immer geleert gewesen und im Haus habe etwas gefehlt. Dies habe sie erst im Oktober 2012 gemerkt. Sie habe nicht früher Anzeige erstattet, weil sie den Aufwand gescheut habe und sie sowieso bald ausziehen würden. Die Anzeige habe sie gemacht, weil der Verwalter sie dazu gedrängt habe. Das Einvernahmeprotokoll unterzeichnete B.X.________ nicht (Nichtanhandnahmeverfügung vom 8. Mai 2013, S. 1 f.).</w:t>
      </w:r>
    </w:p>
    <w:p>
      <w:r>
        <w:rPr>
          <w:b/>
        </w:rPr>
        <w:t>E. 1.2</w:t>
      </w:r>
    </w:p>
    <w:p>
      <w:r>
        <w:t>In der Nichtanhandnahmeverfügung vom 8. Mai 2013 hält die Staatsanwaltschaft fest, von Anfang an hätten grosse Zweifel bestanden, dass die Einschleichdiebstähle überhaupt verübt wurden und die Beschwerdegegnerin 2 die Täterin war. Diese Zweifel seien bis zum Abschluss des polizeilichen Ermittlungsverfahrens nicht kleiner geworden.</w:t>
      </w:r>
    </w:p>
    <w:p>
      <w:r>
        <w:t>Die Vorinstanz bestätigt die Erwägungen der Staatsanwaltschaft und hält fest, es bestünden keine konkreten Hinweise auf ein strafbares Verhalten der Beschwerdegegnerin 2. Die Vermutungen des Beschwerdeführers und seiner Ehefrau, die Beschwerdegegnerin 2 habe die angezeigten Diebstähle begangen, hätten mit keinem Indiz erhärtet werden können. Insbesondere weise der Umstand, dass dem Beschwerdeführer lediglich fünf von insgesamt sieben angefertigten Schlüssel der Liegenschaft übergeben worden waren, nicht darauf hin, dass die Beschwerdegegnerin 2 im Besitze eines Schlüssels war und in das Haus eindrang. Dass die Beschwerdegegnerin 2 beauftragt worden sein soll, den Briefkasten für Z.________ zu leeren, sei ebenso wenig ein Indiz für einen Einschleichdiebstahl. Die Beschwerdegegnerin 2 habe ausserdem stets bestritten, den Briefkasten zu leeren.</w:t>
      </w:r>
    </w:p>
    <w:p>
      <w:r>
        <w:rPr>
          <w:b/>
        </w:rPr>
        <w:t>E. 1.3</w:t>
      </w:r>
    </w:p>
    <w:p>
      <w:r>
        <w:t>Der Beschwerdeführer wirft der Vorinstanz im Wesentlichen vor, zu verkennen, dass die Anzeige gegen Unbekannt erstattet und die Beschwerdegegnerin 2 nur als mögliche Verdächtige genannt wurde. Es sei Aufgabe der Strafverfolgungsbehörden, in jeder Weise zu ermitteln, wie die Vermögenswerte entwendet wurden. Die notwendigen Abklärungen hätten nicht stattgefunden und die Vorinstanz sei zu Unrecht davon ausgegangen, dass nur die Rolle der Beschwerdegegnerin 2 näher zu beleuchten gewesen sei.</w:t>
      </w:r>
    </w:p>
    <w:p>
      <w:r>
        <w:rPr>
          <w:b/>
        </w:rPr>
        <w:t>E. 1.4</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 CORNELIA HÜRLIMANN, Die Eröffnung einer Strafuntersuchung im ordentlichen Verfahren gegen Erwachsene im Kanton Zürich, 2006, S. 183). Die Staatsanwaltschaft eröffnet hingegen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 HÜRLIMANN, a.a.O., S. 107 f.; NIKLAUS SCHMID, Handbuch des schweizerischen Strafprozessrechts, 2. Aufl. 2013, S. 550). Blosse Gerüchte oder Vermutungen genügen nicht. Der Anfangsverdacht soll eine plausible Tatsachengrundlage haben, aus der sich die konkrete Möglichkeit der Begehung einer Straftat ergibt (vgl. RALF ESCHELBACH, in VORDERMAYER/VON HEINTSCHEL-HEINEGG, Handbuch für den Staatsanwalt, 4. Aufl. Köln 2013, S. 791).</w:t>
      </w:r>
    </w:p>
    <w:p>
      <w:r>
        <w:rPr>
          <w:b/>
        </w:rPr>
        <w:t>E. 1.5</w:t>
      </w:r>
    </w:p>
    <w:p>
      <w:r>
        <w:t>Die Schilderung der angeblichen Einschleichdiebstähle erscheint in jeder Hinsicht als unglaubhaft und die vorgebrachten Vermutungen beruhen nicht auf einer plausiblen Grundlage. Es besteht kein hinreichender Verdacht, dass Einschleichdiebstähle begangen wurden und dass die Beschwerdegegnerin 2 die Täterin ist. Die Staatsanwaltschaft durfte von der Eröffnung einer Untersuchung absehen und die Nichtanhandnahme verfügen.</w:t>
      </w:r>
    </w:p>
    <w:p>
      <w:r>
        <w:rPr>
          <w:b/>
        </w:rPr>
        <w:t>E. 2</w:t>
      </w:r>
    </w:p>
    <w:p>
      <w:r>
        <w:t>Die Beschwerde ist abzuweisen. Die Kosten sind dem unterliegenden Beschwerdeführer aufzuerlegen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