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6B_82/2022 vom 18. Januar 2023</w:t>
      </w:r>
    </w:p>
    <w:p>
      <w:r>
        <w:t>Bundesgericht, 2023-01-18, FR</w:t>
      </w:r>
    </w:p>
    <w:p>
      <w:r>
        <w:rPr>
          <w:b/>
        </w:rPr>
        <w:t xml:space="preserve">Quelle: </w:t>
      </w:r>
      <w:r>
        <w:t>https://mcp.opencaselaw.ch/entscheid/bger_6B_82_2022</w:t>
      </w:r>
    </w:p>
    <w:p>
      <w:r>
        <w:t>FR: TF 6B_82/2022 du 18 janvier 2023</w:t>
      </w:r>
    </w:p>
    <w:p>
      <w:r>
        <w:t>IT: TF 6B_82/2022 del 18 gennaio 2023</w:t>
      </w:r>
    </w:p>
    <w:p>
      <w:pPr>
        <w:pStyle w:val="Heading2"/>
      </w:pPr>
      <w:r>
        <w:t>Erwägungen</w:t>
      </w:r>
    </w:p>
    <w:p>
      <w:r>
        <w:rPr>
          <w:b/>
        </w:rPr>
        <w:t>E. 1</w:t>
      </w:r>
    </w:p>
    <w:p>
      <w:r>
        <w:t>Le recourant s'en prend tout d'abord au rejet, en appel, de sa réquisition de preuve tendant à l'audition de D.B.________, présente lors des faits et épouse de l'intimé.</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6B_572/2022 du 16 novembre 2022 consid. 2.1; 6B_1403/2021 du 9 juin 2022 consid. 1.2; 6B_979/2021 du 11 avril 2022 consid. 3.1).</w:t>
      </w:r>
    </w:p>
    <w:p>
      <w:r>
        <w:rPr>
          <w:b/>
        </w:rPr>
        <w:t>E. 1.2</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131 I 476 consid. 2.2; arrêt 6B_1403/2021 précité consid. 2.1 et les arrêts cités). Il s'agit de l'un des aspects du droit à un procès équitable institué à l' art. 6 par. 1 CEDH . En tant qu'elle concrétise le droit d'être entendu ( art. 29 al. 2 Cst. ), cette exigence est également garantie par l' art. 32 al. 2 Cst. ( ATF 144 II 427 consid. 3.1.2; 131 I 476 consid. 2.2).</w:t>
      </w:r>
    </w:p>
    <w:p>
      <w:r>
        <w:rPr>
          <w:b/>
        </w:rPr>
        <w:t>E. 1.3</w:t>
      </w:r>
    </w:p>
    <w:p>
      <w:r>
        <w:t>En l'espèce, le recourant ne soulève aucun grief topique, motivé à satisfaction de droit (art. 42 al. 2 et 106 al. 2 LTF), destiné à démontrer en quoi la cour cantonale aurait violé le droit, en particulier son droit d'être entendu, en rejetant sa réquisition de preuve. Insuffisamment motivé, le grief est irrecevable.</w:t>
      </w:r>
    </w:p>
    <w:p>
      <w:r>
        <w:t>On peut au demeurant relever que la cour cantonale a notamment retenu que l'épouse de l'intimé avait été entendue en qualité de personne appelée à donner des renseignements le 11 février 2020, ce durant l'instruction et en présence du recourant ( art. 105 al. 2 LTF ). L'intéressée avait confirmé que ce dernier avait traité son mari de "</w:t>
      </w:r>
    </w:p>
    <w:p>
      <w:r>
        <w:t>sale étranger ", avant de préciser avoir vu, à une distance de cinq à six mètres, le recourant pointer son arme en direction du visage de son mari. Cela étant, les juges précédents ont considéré qu'une nouvelle audition de la prénommée était inutile, compte tenu de ce qu'elle avait déjà été entendue et qu'il y avait lieu de supposer qu'elle ne modifierait pas sa déposition. Quoique le recourant omette de s'attacher, comme il lui incombait de le faire (art. 42 al. 2 et 106 al. 2 LTF), à mettre en évidence l'arbitraire d'une telle appréciation anticipée, on peut néanmoins relever que la motivation cantonale échappe sur ce point à la critique. Au contraire, les éléments retenus par les juges précédents leur permettaient quoi qu'il en soit de rejeter la réquisition du recourant sans violer le droit.</w:t>
      </w:r>
    </w:p>
    <w:p>
      <w:r>
        <w:rPr>
          <w:b/>
        </w:rPr>
        <w:t>E. 2</w:t>
      </w:r>
    </w:p>
    <w:p>
      <w:r>
        <w:t>Le recourant se plaint ensuite d'arbitraire dans l'appréciation des preuves et l'établissement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1.1et les références citées).</w:t>
      </w:r>
    </w:p>
    <w:p>
      <w:r>
        <w:t>Les déclarations de la victime constituent un élément de preuve. Le juge doit, dans l'évaluation globale de l'ensemble des éléments probatoires rassemblés au dossier, les apprécier librement (arrêts 6B_497/2022 du 23 décembre 2022 consid. 1.1; 6B_474/2022 du 9 novembre 2022 consid. 1.1; 6B_1404/2021 du 8 juin 2022 consid. 3.1; 6B_894/2021 du 28 mars 2022 consid. 2.3, non publié in ATF 148 IV 234 ), sous réserve des cas particuliers, non réalisés en l'espèce, où une expertise de la crédibilité des déclarations de la victime s'impose (cf. ATF 129 IV 179 consid. 2.4). Les cas de "</w:t>
      </w:r>
    </w:p>
    <w:p>
      <w:r>
        <w:t>déclarations contre déclarations ",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497/2022 précité consid. 1.1; 6B_1404/2021 précité consid. 3.1; 6B_894/2021 précité consid. 2.3).</w:t>
      </w:r>
    </w:p>
    <w:p>
      <w:r>
        <w:rPr>
          <w:b/>
        </w:rPr>
        <w:t>E. 2.2</w:t>
      </w:r>
    </w:p>
    <w:p>
      <w:r>
        <w:t>En l'espèce, le recourant reproche à la cour cantonale d'avoir versé dans l'arbitraire en écartant sa version des faits au profit de celle de l'intimé, pour retenir l'infraction de menaces. Il conteste avoir pointé son arme dans la direction de ce dernier et avoir menacé le prénommé avec celle-ci, en prétendant qu'il l'avait gardée le long de sa jambe, avec le canon vers le sol.</w:t>
      </w:r>
    </w:p>
    <w:p>
      <w:r>
        <w:t>Pour forger leur conviction et retenir la version de l'intimé tout en écartant celle du recourant, les juges précédents ont tout d'abord relevé l'immédiateté de la réaction du premier, en rappelant qu'il s'était rapidement rendu au poste de police pour déposer plainte après avoir été confronté, avec sa famille, à une personne armée ayant dirigé un pistolet contre lui. La cour cantonale a jugé que ce comportement démontrait la réalité des menaces proférées à son encontre. Elle a ensuite considéré que la déposition de l'épouse de l'intimé étayait la version de ce dernier, bien que les liens entre ces derniers en atténue la valeur probante. Pour autant, la déposition de la prénommée, qui confirmait le fait que l'arme avait bien été pointée par le recourant en direction de l'intimé, n'en apparaissait pas moins mesurée. Le fait que d'autres détails factuels ne coïncident pas avec les explications de l'intimé démontrait qu'elle avait donné sa propre version plutôt que d'accabler le recourant, de concert avec son conjoint. Les juges précédents en ont conclu que le recourant persistait en vain à soutenir qu'il s'était borné à maintenir son bras le long de son corps, pistolet à la main, "</w:t>
      </w:r>
    </w:p>
    <w:p>
      <w:r>
        <w:t>afin d'avoir un effet dissuasif à l'égard [de l'intimé]". Enfin, les juges précédents ont encore mis en exergue le fait que le recourant était porteur d'une arme sans la transporter séparément des munitions, ce qui montrait un usage illicite de ce pistolet, sans que le recourant puisse expliquer pourquoi son arme contenait cinq cartouches dans le magasin. Le port d'une telle arme chargée n'apparaissait nullement justifiée par l'activité - la course à pied - à laquelle le recourant se livrait alors. Le moyen présenté en appel, selon lequel c'était par erreur que le recourant avait pris cette arme avec lui, pour ne pas la laisser dans le coffre de sa voiture, par mesure de sécurité, n'expliquait pas le fait que le pistolet eût alors été chargé. Il importait peu que le recourant eût entendu pratiquer le tir en stand au moyen de cette même arme sitôt son entraînement de course à pied terminé, comme il le soutenait.</w:t>
      </w:r>
    </w:p>
    <w:p>
      <w:r>
        <w:t>Contrairement à ce que soutient le recourant, la motivation cantonale concernant l'appréciation des preuves et l'établissement des faits ne saurait être tenue pour arbitraire. La cour cantonale était en particulier fondée à déduire de ce que l'intimé s'est immédiatement rendu au poste de police pour déposer plainte après les faits un élément plaidant faveur de sa version des évènements, notamment au regard de la proximité temporelle entre les faits proprement dits et les déclarations de l'intimé. Il n'est pas non plus insoutenable de déduire, comme l'ont fait les juges précédents, un argument en faveur de la version de l'intimé en relevant le comportement illicite du recourant consistant à transporter une arme munitionnée. De même étaient-ils fondés à considérer qu'un tel port d'arme n'apparaissait nullement justifié s'agissant d'une personne alors censée pratiquer la course à pied. Ils pouvaient ainsi considérer que la crédibilité de la version du recourant s'en trouvait affaiblie par rapport à celle de l'intimé. Quant aux critiques que le recourant réserve à la prise en compte de la version de l'épouse de l'intimé, elles sont irrecevables en tant qu'elles se rapportent au refus de l'entendre à l'audience d'appel (cf.</w:t>
      </w:r>
    </w:p>
    <w:p>
      <w:r>
        <w:t>supra consid. 1). Pour le reste, le recourant développe sur ce plan une argumentation qui consiste en réalité à opposer sa propre appréciation de la déposition de cette dernière, sans parvenir à esquisser en quoi celle des juges précédents, telle que relatée plus haut, serait insoutenable. Sa critique s'avère dans cette mesure irrecevable.</w:t>
      </w:r>
    </w:p>
    <w:p>
      <w:r>
        <w:t>C'est également de manière appellatoire que le recourant tente de démontrer, sous différents angles, pourquoi, selon lui, sa version serait plus crédible que celle de l'intimé. Les éléments qu'il fait valoir, en se prévalant notamment du journal d'intervention de la police, ne sont pas de nature à rendre insoutenable le constat selon lequel il a pointé son arme sur l'intimé. La discussion que propose le recourant revient ici aussi à opposer sa propre appréciation de la crédibilité de ses déclarations à celle des juges précédents, sans parvenir à mettre en exergue un élément devant conduire à considérer celle-ci comme étant insoutenable. De même invoque-t-il en vain la présomption d'innocence.</w:t>
      </w:r>
    </w:p>
    <w:p>
      <w:r>
        <w:t>En définitive, les griefs du recourant concernant l'appréciation des preuves et l'établissement des faits s'avèrent mal fondés et doivent être rejetés, dans la mesure où il sont recevables.</w:t>
      </w:r>
    </w:p>
    <w:p>
      <w:r>
        <w:rPr>
          <w:b/>
        </w:rPr>
        <w:t>E. 3</w:t>
      </w:r>
    </w:p>
    <w:p>
      <w:r>
        <w:t>Le recourant reproche de surcroît à la cour cantonale de ne pas avoir retenu, au regard des faits dont il se prévaut, qu'il s'était trouvé en état de légitime défense.</w:t>
      </w:r>
    </w:p>
    <w:p>
      <w:r>
        <w:rPr>
          <w:b/>
        </w:rPr>
        <w:t>E. 3.1</w:t>
      </w:r>
    </w:p>
    <w:p>
      <w:r>
        <w:t>Aux termes de l' art. 15 CP , quiconque, de manière contraire au droit, est attaqué ou menacé d'une attaque imminente a le droit de repousser l'attaque par des moyens proportionnés aux circonstances; le même droit appartient aux tiers. D'après l' art. 16 CP , si l'auteur, en repoussant une attaque, a excédé les limites de la légitime défense au sens de l'art. 15, le juge atténue la peine (al. 1). Si cet excès provient d'un état excusable d'excitation ou de saisissement causé par l'attaque, l'auteur n'agit pas de manière coupable (al. 2).</w:t>
      </w:r>
    </w:p>
    <w:p>
      <w:r>
        <w:rPr>
          <w:b/>
        </w:rPr>
        <w:t>E. 3.2</w:t>
      </w:r>
    </w:p>
    <w:p>
      <w:r>
        <w:t>En l'espèce, le recourant ne discute pas en soi la réalisation des éléments constitutifs de l'infraction de menaces au sens de l' art. 180 CP , telle que retenue par la cour cantonale. Contestant cependant avoir pointé son arme sur l'intimé, en affirmant l'avoir au contraire maintenue contre sa jambe, d'une main, canon pointé vers le sol, le doigt le long de la détente, il prétend avoir réagi de manière proportionnée et se prévaut de la légitime défense.</w:t>
      </w:r>
    </w:p>
    <w:p>
      <w:r>
        <w:t>Ce faisant, le recourant ne soulève aucun grief recevable explicitement tiré d'une violation des art. 15 ou 16 CP ( art. 42 al. 2 LTF ). Il développe une argumentation entièrement fondée sur sa propre présentation des faits et s'écarte de manière inadmissible des faits constatés sans arbitraire par la cour cantonale et qui lient la Cour de céans ( art. 105 al. 1 LTF ). Il s'ensuit que le grief doit être déclaré irrecevable, sans qu'il y ait lieu d'examiner plus avant la motivation cantonale sur ce point.</w:t>
      </w:r>
    </w:p>
    <w:p>
      <w:r>
        <w:rPr>
          <w:b/>
        </w:rPr>
        <w:t>E. 4</w:t>
      </w:r>
    </w:p>
    <w:p>
      <w:r>
        <w:t>Dans un dernier grief, le recourant s'en prend enfin à la mesure de confiscation concernant ses armes.</w:t>
      </w:r>
    </w:p>
    <w:p>
      <w:r>
        <w:rPr>
          <w:b/>
        </w:rPr>
        <w:t>E. 4.1</w:t>
      </w:r>
    </w:p>
    <w:p>
      <w:r>
        <w:t>Selon l' art. 69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A teneur de l'art. 31 al. 3 de la Loi fédérale sur les armes, les accessoires d'armes et les munitions (LArm; RS 514.54), l'autorité confisque définitivement les objets mis sous séquestre s'ils risquent d'être utilisés de manière abusive, notamment si des personnes ont été menacées ou blessées au moyen de ces objets (let. a).</w:t>
      </w:r>
    </w:p>
    <w:p>
      <w:r>
        <w:t>Selon l'art. 54 de l'Ordonnance sur les armes, les accessoires d'armes et les munitions (OArm; RS 514.541), si l'objet mis sous séquestre en vertu de l' art. 31 LArm est réalisable, l'autorité compétente peut en disposer librement (al. 1). Le propriétaire doit être indemnisé si l'objet ne peut lui être restitué (al. 2). Si l'objet est vendu, l'indemnité est égale au montant du produit de la réalisation. Dans les autres cas, elle correspond à la valeur effective de l'objet. Les frais de conservation et, le cas échéant, de réalisation sont déduits (al. 4).</w:t>
      </w:r>
    </w:p>
    <w:p>
      <w:r>
        <w:rPr>
          <w:b/>
        </w:rPr>
        <w:t>E. 4.2</w:t>
      </w:r>
    </w:p>
    <w:p>
      <w:r>
        <w:t>En l'espèce, l'argumentation que le recourant développe pour contester la mesure de confiscation qui l'a visée repose sur la prémisse selon laquelle il ne s'est pas rendu coupable de l'infraction de menaces au sens de l' art. 180 CP et que, dès lors, son comportement ne représentait pas une menace pour la sécurité publique. Il suffit à cet égard de constater, compte tenu des développements qui précèdent, que cette prémisse est erronée. Sur ce point également, le recourant s'écarte de manière inadmissible des constatations cantonales et son grief tiré d'une prétendue violation de l' art. 69 CP repose sur sa propre version des faits. En outre, le recourant ne conteste pas s'être rendu coupable du délit réprimé par l' art. 33 al. 1 let. a LArm pour avoir été porteur sans droit d'une arme et de munitions, ni de s'être rendu coupable de la contravention réprimée par l' art. 34 al. 1 let . n LArm (</w:t>
      </w:r>
    </w:p>
    <w:p>
      <w:r>
        <w:t>cum</w:t>
      </w:r>
    </w:p>
    <w:p>
      <w:r>
        <w:t>art. 28 al. 2 LArm ), comme relevé par les juges précédents. On peut au demeurant renvoyer à la motivation cantonale ( art. 109 al. 3 LTF ) sur la question de la confiscation, qui ne prête pas le flanc à la critique, en particulier lorsque la cour cantonale retient que la façon dont le recourant a fait usage de son arme pour effrayer illicitement un tiers faisait craindre une nouvelle mise en danger de la sécurité des personnes. Le grief s'avère en tous les cas mal fondé et doit être rejeté, dans la mesure où il est recevable.</w:t>
      </w:r>
    </w:p>
    <w:p>
      <w:r>
        <w:rPr>
          <w:b/>
        </w:rPr>
        <w:t>E. 5</w:t>
      </w:r>
    </w:p>
    <w:p>
      <w:r>
        <w:t>Compte tenu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