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6B_828/2025 vom 13. Januar 2026</w:t>
      </w:r>
    </w:p>
    <w:p>
      <w:r>
        <w:t>Bundesgericht, 2026-01-13, FR</w:t>
      </w:r>
    </w:p>
    <w:p>
      <w:r>
        <w:rPr>
          <w:b/>
        </w:rPr>
        <w:t xml:space="preserve">Quelle: </w:t>
      </w:r>
      <w:r>
        <w:t>https://mcp.opencaselaw.ch/entscheid/bger_6B_828_2025</w:t>
      </w:r>
    </w:p>
    <w:p>
      <w:r>
        <w:t>FR: TF 6B_828/2025 du 13 janvier 2026</w:t>
      </w:r>
    </w:p>
    <w:p>
      <w:r>
        <w:t>IT: TF 6B_828/2025 del 13 gennaio 2026</w:t>
      </w:r>
    </w:p>
    <w:p>
      <w:pPr>
        <w:pStyle w:val="Heading2"/>
      </w:pPr>
      <w:r>
        <w:t>Erwägungen</w:t>
      </w:r>
    </w:p>
    <w:p>
      <w:r>
        <w:rPr>
          <w:b/>
        </w:rPr>
        <w:t>E. 1</w:t>
      </w:r>
    </w:p>
    <w:p>
      <w:r>
        <w:t>Invoquant l'arbitraire dans l'établissement des faits et dans l'appréciation des preuves ainsi que la violation de la présomption d'innocence, le recourant conteste sa condamnation pour actes d'ordre sexuel avec des enfants.</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et les arrêts cités).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389 consid. 4.7.1; 150 IV 360 consid. 3.2.1). Les critiques de nature appellatoire sont irrecevables ( ATF 150 IV 389 consid. 4.7.1; 150 IV 360 consid. 3.2.1 et les arrêts cités).</w:t>
      </w:r>
    </w:p>
    <w:p>
      <w:r>
        <w:rPr>
          <w:b/>
        </w:rPr>
        <w:t>E. 1.1.2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144 IV 345 consid. 2.2.3.1; 127 I 38 consid. 2a).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et les arrêts cités).</w:t>
      </w:r>
    </w:p>
    <w:p>
      <w:r>
        <w:rPr>
          <w:b/>
        </w:rPr>
        <w:t>E. 1.1.3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6B_979/2024 du 7 mai 2025 consid. 1.1.2; 6B_589/2024 du 17 janvier 2025 consid. 2.1).</w:t>
      </w:r>
    </w:p>
    <w:p>
      <w:r>
        <w:rPr>
          <w:b/>
        </w:rPr>
        <w:t>E. 1.1.4</w:t>
      </w:r>
    </w:p>
    <w:p>
      <w:r>
        <w:t>Les déclarations de la victime constituent un élément de preuve. Le juge doit, dans l'évaluation globale de l'ensemble des éléments probatoires rassemblés au dossier, les apprécier librement (arrêts 6B_979/2024 précité consid. 1.1.4; 6B_964/2023 du 17 avril 2024 consid. 2.3.1 non publié</w:t>
      </w:r>
    </w:p>
    <w:p>
      <w:r>
        <w:t>in</w:t>
      </w:r>
    </w:p>
    <w:p>
      <w:r>
        <w:t>ATF 150 IV 121 ).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 6B_979/2024 précité consid. 1.1.4).</w:t>
      </w:r>
    </w:p>
    <w:p>
      <w:r>
        <w:rPr>
          <w:b/>
        </w:rPr>
        <w:t>E. 1.1.5</w:t>
      </w:r>
    </w:p>
    <w:p>
      <w:r>
        <w:t>Une expertise de crédibilité est exigée notamment lorsqu'il s'agit d'évaluer les déclarations d'un enfant qui sont fragmentaires ou difficilement interprétables. Elle doit permettre au juge d'apprécier la valeur des déclarations de l'enfant, en s'assurant que ce dernier n'est pas suggestible, que son comportement trouve son origine dans un abus sexuel et n'a pas une autre cause, que l'enfant n'a pas subi l'influence de l'un de ses parents et que l'abus sexuel ne relève pas de la pure fantaisie de l'enfant (arrêts 6B_613/2025 du 2 octobre 2025 consid. 1.4; 7B_1389/2024 du 30 juin 2025 consid. 3.2.4). En cas de suspicion d'abus sexuel sur des enfants, il existe des critères spécifiques pour apprécier si leurs déclarations correspondent à la réalité (cf. à ce sujet arrêts 6B_539/2010 du 30 mai 2011 consid. 2.2.4, publié</w:t>
      </w:r>
    </w:p>
    <w:p>
      <w:r>
        <w:t>in SJ 2012 I 293; 6B_964/2023 du précité consid. 2.3.2.3 non publié</w:t>
      </w:r>
    </w:p>
    <w:p>
      <w:r>
        <w:t>in</w:t>
      </w:r>
    </w:p>
    <w:p>
      <w:r>
        <w:t>ATF 150 IV 121 ). L'expert doit examiner si la personne interrogée, compte tenu des circonstances, de ses capacités intellectuelles et des motifs du dévoilement, était capable de faire une telle déposition, même sans un véritable contexte "expérientiel". Dans ce cadre, il analyse le contenu et la genèse des déclarations et du comportement, les caractéristiques du témoin, de son vécu et de son histoire personnelle, ainsi que divers éléments extérieurs ( ATF 129 I 49 consid. 5; 128 I 81 consid. 2; arrêts 6B_613/2025 précité consid. 1.4; 7B_1389/2024 précité consid. 3.2.4; 6B_101/2024 du 23 septembre 2024 consid. 1.1.4; 6B_1118/2022 du 30 mars 2023 consid. 1.1.3; 6B_1247/2021 du 16 novembre 2022 consid. 2.4). Lors de l'expertise de la validité d'un témoignage, il faut toujours avoir à l'esprit que la déclaration peut ne pas être fondée sur la réalité ( ATF 128 I 81 consid. 2; arrêts 6B_613/2025 précité consid. 1.4; 7B_427/2023 du 12 juin 2025 consid. 3.2.4; 6B_1247/2021 précité consid. 2.4; 6B_276/2018 du 24 septembre 2018 consid. 1.2.1). La méthode "Statement Validity Analysis" (SVA) est conforme aux exigences de la jurisprudence fédérale (arrêts 6B_103/2024 du 5 novembre 2024 consid. 2.2.2; 7B_1389/2024 précité consid. 3.2.4; 6B_714/2020 du 19 octobre 2020 consid. 1.3.1; 6B_944/2019 du 10 décembre 2019 consid. 3.2.1; 6B_288/2017 du 19 janvier 2018 consid. 2.2).</w:t>
      </w:r>
    </w:p>
    <w:p>
      <w:r>
        <w:rPr>
          <w:b/>
        </w:rPr>
        <w:t>E. 1.1.6</w:t>
      </w:r>
    </w:p>
    <w:p>
      <w:r>
        <w:t>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 art. 9 Cst. ( ATF 146 IV 114 consid. 2.1; 142 IV 49 consid. 2.1.3; arrêts 6B_613/2025 précité consid. 1.4; 6B_964/2023 précité consid. 2.3.2.1 destiné à publication).</w:t>
      </w:r>
    </w:p>
    <w:p>
      <w:r>
        <w:t>Il n'appartient pas au Tribunal fédéral de vérifier si toutes les affirmations de l'expert sont exemptes d'arbitraire; sa tâche se limite bien plutôt à examiner si l'autorité intimée pouvait, sans arbitraire, se rallier à son résultat ( ATF 142 II 355 consid. 6; arrêts 6B_528/2024 du 10 octobre 2025 2.4; 7B_1389/2024 précité consid. 3.2.5 et les autres références citées).</w:t>
      </w:r>
    </w:p>
    <w:p>
      <w:r>
        <w:rPr>
          <w:b/>
        </w:rPr>
        <w:t>E. 1.2</w:t>
      </w:r>
    </w:p>
    <w:p>
      <w:r>
        <w:t>La cour cantonale a retenu que, contrairement à ce que soutenait le recourant, le premier juge ne s'était pas fondé sur la seule expertise de crédibilité pour asseoir sa conviction. II s'était fondé sur l'audition-vidéo de l'intimée, sur les auditions de la mère de cette dernière et de sa tante, sur l'expertise de crédibilité et son complément, pour acquérir la conviction que les faits s'étaient déroulés comme décrits dans l'acte d'accusation. Il avait également écarté la thèse du complot et de la manipulation de l'enfant, en considérant cette hypothèse comme tout à fait improbable. La mère, qui n'avait aucun intérêt à un tel complot, considérait le recourant comme un grand frère, alors que la tante, qui avait certes vécu une séparation conflictuelle avec le recourant, avait adopté une attitude mesurée en procédure qui permettait d'exclure qu'elle aurait pu utiliser sa nièce de 11 ans pour nuire à son ex-époux. Cette appréciation et cette conviction devaient être partagées. Le recourant ne contestait pas les circonstances dans lesquelles il s'était retrouvé seul avec l'intimée, mais uniquement les attouchements relatifs à l'histoire de l'araignée qui serait remontée le long de la jambe de l'enfant. On concevait déjà difficilement qu'une enfant pouvait inventer un tel prétexte, mais c'était encore moins concevable lorsque l'enfant décrivait, comme en l'espèce, les faits de manière très simple, de sorte qu'on comprenait qu'elle n'avait aucunement réalisé le caractère sexuel des attouchements commis sur son vagin au moment des faits. De plus, si, comme le soutenait le recourant, un adulte avait inventé une telle histoire, il ne l'aurait certainement pas imagée, en faisant en sorte que l'enfant ne comprenne pas le caractère sexuel des actes, mais aurait évoqué des termes à caractère sexuel, afin qu'elle les répète aux autorités pénales. Le récit de l'intimée était ainsi authentique, particulièrement crédible et contextualisé. L'expertise avait mis en évidence des critères suffisants pour se prononcer en faveur de la crédibilité du récit de l'enfant et un risque de contamination faible, le degré zéro de ce risque n'étant jamais posé par les experts. Face à ces éléments, les supputations du recourant sur les risques de contamination du récit de l'enfant ne pesaient pas lourd. En effet, sa thèse du complot ne résistait pas à l'examen. Les faits s'étaient produits en 2019, alors que son couple avec son ex-femme ne rencontrait pas de difficultés relationnelles et qu'aucune accusation n'avait encore été portée à son encontre concernant son fils. On ne voyait pas pourquoi l'ex-épouse aurait eu besoin d'instrumentaliser sa nièce dans un premier temps, alors qu'elle avait ultérieurement porté des accusations distinctes à l'encontre de son ex-mari concernant leur enfant commun. S'il s'agissait réellement d'un complot, elle aurait certainement commencé par déposer plainte s'agissant de leur enfant commun. Par ailleurs, lors de la révélation des faits, l'intimée s'était d'abord confiée à une amie, laquelle lui avait dit d'avertir sa mère, ce qui mettait à néant encore une fois le prétendu complot avancé par le recourant et rendait les déclarations de l'enfant crédibles. Concernant l'histoire de l'araignée, l'ex-épouse ne s'en souvenait que comme une conversation banale, de sorte qu'on ne saurait retenir un mensonge de sa part, celle-ci adoptant par ailleurs un comportement mesuré dans le cadre de cette procédure. Enfin, contrairement à ce que soutenait le recourant, la conversation entre son ex-épouse et la mère de l'intimée que l'intimée avait entendue avant de révéler à sa mère les faits dont il était question, portait sur l'exercice du droit de visite du recourant sur son fils et aucunement sur le sujet de la sexualité. Rien de concret ne venait ainsi étayer les affirmations du recourant. Au vu de ces éléments, c'était donc à raison que le tribunal avait retenu la version des faits de l'enfant, laquelle avait été corroborée par les pièces du dossier.</w:t>
      </w:r>
    </w:p>
    <w:p>
      <w:r>
        <w:rPr>
          <w:b/>
        </w:rPr>
        <w:t>E. 1.3</w:t>
      </w:r>
    </w:p>
    <w:p>
      <w:r>
        <w:t>C'est en vain que le recourant reproche à la cour cantonale d'avoir confirmé sa condamnation au seul motif, selon lui, qu'il ne serait pas parvenu à démontrer que l'intimée mentait. En effet, la cour cantonale a fondé sa conviction sur un ensemble d'éléments convergents, en particulier l'audition-vidéo de l'intimée, les déclarations de la mère et de la tante (l'ex-femme du recourant), l'expertise de crédibilité et son complément ainsi que le déroulement de la révélation. Sur cette base, elle a considéré que le récit de l'intimée était authentique, particulièrement crédible et contextualisé; à cet égard, l'expertise a mis en avant des critères suffisants pour se prononcer en faveur de la crédibilité du récit et d'un risque de contamination faible. Le grief est rejeté dans la mesure où il est recevable.</w:t>
      </w:r>
    </w:p>
    <w:p>
      <w:r>
        <w:rPr>
          <w:b/>
        </w:rPr>
        <w:t>E. 1.4</w:t>
      </w:r>
    </w:p>
    <w:p>
      <w:r>
        <w:t>S'agissant de l'expertise, le recourant conteste la force probante attribuée à celle-ci, soutenant qu'elle ne permettrait pas d'établir la crédibilité de l'intimée. Par cette critique, il ne fait qu'opposer sa propre appréciation à celle de la cour cantonale, sans démontrer en quoi l'évaluation de cette dernière serait arbitraire. Il en va de même lorsqu'il invoque une partialité des experts. Au demeurant, le rapport d'expertise du 18 avril 2023 et son complément du 19 septembre 2023 respectent les exigences posées par la jurisprudence relative aux expertises de crédibilité. L'audition a été menée conformément au protocole d'audition des enfants victimes d'infractions graves (EVIG) du National Institute of Child Health and Human Development (NICHD). Les experts ont ensuite utilisé la méthode SVA ("Statement Validity Analysis"), analogue à la méthode dite de l'analyse du témoignage, qui est préconisée par le Tribunal fédéral (cf.</w:t>
      </w:r>
    </w:p>
    <w:p>
      <w:r>
        <w:t>supra consid. 1.1.5). Le rapport est en outre clair et cohérent dans son analyse et ses conclusions. Il expose en particulier sans détour que le récit de l'intimée doit être considéré comme crédible et que le risque de contamination est faible.</w:t>
      </w:r>
    </w:p>
    <w:p>
      <w:r>
        <w:t>Le recourant relève un certain nombre d'éléments, qui, selon lui, permettraient de remettre en cause les conclusions des experts. C'est d'abord en vain qu'il se prévaut du laps de temps écoulé entre la révélation des faits et le dépôt de la plainte pénale, pour remettre en cause l'appréciation d'un risque de contamination faible. Il ressort en effet de l'expertise que les experts ont tenu compte du fait que la plainte avait été déposée le surlendemain de la révélation et, à la lumière de cet élément, ont conclu que le risque de contamination devait être qualifié de faible (cf. expertise de crédibilité du 18 avril 2023, p. 24; pièce 27 du dossier cantonal). S'agissant de l'argument du recourant selon lequel la cour cantonale aurait passé sous silence l'absence de signes de traumatisme chez l'intimée en lien avec les faits de la cause, il convient de relever, d'une part, que cet élément figure expressément dans l'expertise, sur laquelle la cour cantonale a fondé son appréciation. D'autre part, l'absence de traumatisme ne saurait, à elle seule, remettre en cause les conclusions de l'expertise de crédibilité. En définitive, le recourant ne soulève aucun motif pertinent qui justifierait de s'écarter de l'expertise. Le grief est rejeté dans la mesure où il est recevable.</w:t>
      </w:r>
    </w:p>
    <w:p>
      <w:r>
        <w:rPr>
          <w:b/>
        </w:rPr>
        <w:t>E. 1.5</w:t>
      </w:r>
    </w:p>
    <w:p>
      <w:r>
        <w:t>Le recourant soutient que la cour cantonale aurait accordé une importance particulière aux propos de son ex-femme - laquelle avait indiqué, lors de son audition du 20 juillet 2022, se souvenir d'une occasion où son ex-mari lui avait parlé d'une araignée à son retour des courses. Ce grief est mal fondé. En effet, la cour cantonale a forgé sa conviction sur un ensemble d'éléments convergents (cf.</w:t>
      </w:r>
    </w:p>
    <w:p>
      <w:r>
        <w:t>supra consid. 1.3). Les propos de l'ex-épouse ne constituaient qu'un élément parmi d'autres et n'ont nullement eu une importance décisive, contrairement à ce qu'allègue le recourant.</w:t>
      </w:r>
    </w:p>
    <w:p>
      <w:r>
        <w:t>C'est également en vain que le recourant reproche à la cour cantonale d'avoir retenu que son ex-épouse avait adopté une attitude mesurée, ce qui permettait d'exclure qu'elle ait instrumentalisé sa nièce de 11 ans pour lui nuire. Là encore, il se limite à substituer sa propre appréciation des faits à celle de l'autorité cantonale, sans démontrer en quoi cette dernière serait insoutenable. Il reproche à la cour cantonale d'avoir omis de tenir compte du fait que son ex-femme avait été entendue en 2022 alors qu'ils étaient en conflit, ce qui, selon lui, n'exclurait pas qu'elle ait pu l'accuser volontairement à tort. Toutefois, dès lors que la cour cantonale a retenu que le risque de contamination était faible (cf.</w:t>
      </w:r>
    </w:p>
    <w:p>
      <w:r>
        <w:t>supra 1.4) et que l'ex-épouse avait adopté une attitude mesurée, le litige les opposant n'apparaît pas déterminant dans la présente cause.</w:t>
      </w:r>
    </w:p>
    <w:p>
      <w:r>
        <w:t>Le recourant fait également grief à la cour cantonale d'avoir omis de prendre en considération l'ordonnance de classement - qui aurait été rendue le concernant s'agissant de prétendus attouchements sexuels sur son propre fils - pour apprécier la crédibilité des déclarations de son ex-épouse. Contrairement à ce qu'il soutient, il n'était pas arbitraire de ne pas se fonder sur cette ordonnance. En effet, celle-ci porte sur des faits étrangers à la présente cause. Par ailleurs, son contenu ne contient aucune indication relative à la crédibilité de son ex-épouse, et encore moins à celle de l'intimée. Le grief est donc rejeté.</w:t>
      </w:r>
    </w:p>
    <w:p>
      <w:r>
        <w:rPr>
          <w:b/>
        </w:rPr>
        <w:t>E. 1.6</w:t>
      </w:r>
    </w:p>
    <w:p>
      <w:r>
        <w:t>Le recourant reproche à la cour cantonale d'avoir tenu compte du fait que l'intimée s'était d'abord confiée à une amie avant de parler à sa mère, sans que l'amie n'ait été entendue par la police ou le ministère public. Il ne ressort pas du dossier que cet aspect aurait été contesté par le recourant devant l'autorité précédente, ni que le recourant aurait demandé - en vain - l'audition de ladite amie. Un tel grief invoqué pour la première fois devant le Tribunal fédéral apparaît irrecevable faute d'épuisement des instances cantonales et compte tenu du principe de la bonne foi en procédure (cf. art. 80 al. 1 LTF , 5 al. 3 Cst). Au demeurant, la cour cantonale a considéré le récit de l'intimée comme authentique, particulièrement crédible et solidement contextualisé. Dans ces conditions, il n'était pas arbitraire de retenir que la révélation s'était déroulée selon la description donnée par l'intimée. Le grief est rejeté dans la mesure où il est recevable.</w:t>
      </w:r>
    </w:p>
    <w:p>
      <w:r>
        <w:rPr>
          <w:b/>
        </w:rPr>
        <w:t>E. 1.7</w:t>
      </w:r>
    </w:p>
    <w:p>
      <w:r>
        <w:t>En définitive, au vu des éléments à disposition, la cour cantonale pouvait retenir, sans arbitraire et sans violer la présomption d'innocence, que le recourant avait commis les actes reprochés.</w:t>
      </w:r>
    </w:p>
    <w:p>
      <w:r>
        <w:rPr>
          <w:b/>
        </w:rPr>
        <w:t>E. 1.8</w:t>
      </w:r>
    </w:p>
    <w:p>
      <w:r>
        <w:t>Pour le surplus, le recourant ne conteste pas la qualification juridique de l'infraction retenue ( art. 42 al. 2 LTF ).</w:t>
      </w:r>
    </w:p>
    <w:p>
      <w:r>
        <w:rPr>
          <w:b/>
        </w:rPr>
        <w:t>E. 2</w:t>
      </w:r>
    </w:p>
    <w:p>
      <w:r>
        <w:t>Le recourant ne conteste pas la peine prononcée à son encontre, de sorte qu'il n'y a pas lieu d'examiner ce point du jugement attaqué ( art. 42 al. 2 LTF ).</w:t>
      </w:r>
    </w:p>
    <w:p>
      <w:r>
        <w:rPr>
          <w:b/>
        </w:rPr>
        <w:t>E. 3</w:t>
      </w:r>
    </w:p>
    <w:p>
      <w:r>
        <w:t>Le recourant conteste l'interdiction à vie d'exercer toute activité professionnelle et toute activité non professionnelle organisée impliquant des contacts réguliers avec des mineurs. Il invoque ce point comme conséquence de son acquittement - qu'il n'obtient pas -, de sorte que son grief est sans objet. Il en va de même de sa conclusion tendant à ce que les conclusions civiles de l'intimée soient rejetées.</w:t>
      </w:r>
    </w:p>
    <w:p>
      <w:r>
        <w:rPr>
          <w:b/>
        </w:rPr>
        <w:t>E. 4</w:t>
      </w:r>
    </w:p>
    <w:p>
      <w:r>
        <w:t>Compte tenu de ce qui précède, le recours est rejeté dans la mesure où il est recevable. Comme il était dénué de chances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