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827/2018 vom 15. Oktober 2018</w:t>
      </w:r>
    </w:p>
    <w:p>
      <w:r>
        <w:t>Bundesgericht, 2018-10-15, FR</w:t>
      </w:r>
    </w:p>
    <w:p>
      <w:r>
        <w:rPr>
          <w:b/>
        </w:rPr>
        <w:t xml:space="preserve">Quelle: </w:t>
      </w:r>
      <w:r>
        <w:t>https://mcp.opencaselaw.ch/entscheid/bger_6B_827_2018</w:t>
      </w:r>
    </w:p>
    <w:p>
      <w:r>
        <w:t>FR: TF 6B 827/2018 du 15 octobre 2018</w:t>
      </w:r>
    </w:p>
    <w:p>
      <w:r>
        <w:t>IT: TF 6B 827/2018 del 15 ottobre 2018</w:t>
      </w:r>
    </w:p>
    <w:p>
      <w:pPr>
        <w:pStyle w:val="Heading2"/>
      </w:pPr>
      <w:r>
        <w:t>Regeste</w:t>
      </w:r>
    </w:p>
    <w:p>
      <w:r>
        <w:t>Irrecevabilité du recours en matière pénale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En l'espèce, par acte daté du 24 août 2018, X.________ forme un recours au Tribunal fédéral " contre une décision du Ministère public du canton de Fribourg ", ensuite d'un arrêt du 7 août 2018 par lequel la Chambre pénale du Tribunal cantonal fribourgeois a déclaré irrecevable, parce que tardif, le recours formé par l'intéressée contre une ordonnance de non-entrée en matière du 13 juin 2018, émanant du Ministère public fribourgeois. Invitée à s'acquitter d'une avance de frais de 800 fr. jusqu'au 13 septembre 2018 par ordonnance du 29 août 2018 (notifiée le 1er septembre 2018), X.________ ne s'est pas exécutée. Par ordonnance du 20 septembre 2018 un second délai non prolongeable échéant le 1er octobre 2018 lui a été imparti à cette fin, avec l'indication des conséquences légales en cas de non paiement ( art. 62 al. 3 LTF ). Cet envoi comme acte judiciaire avec accusé de réception n'a pas été retiré par l'intéressée, qui n'a pas avancé non plus les frais de la procédure dans le délai imparti. Le recours est, dès lors, irrecevable.</w:t>
      </w:r>
    </w:p>
    <w:p>
      <w:r>
        <w:rPr>
          <w:b/>
        </w:rPr>
        <w:t>E. 2</w:t>
      </w:r>
    </w:p>
    <w:p>
      <w:r>
        <w:t>Par surabondance, 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En l'espèce, le recours cantonal a été jugé irrecevable. La cour cantonale l'a principalement jugé tardif. Elle a aussi indiqué qu'à ses yeux aucune demande de restitution de délai n'avait été formulée, que l'acte de recours ne contenait ni motivation ni conclusions et qu'à supposer qu'une demande de restitution du délai de recours eût été présentée, le recours eût dû être rejeté parce que la motivation de l'ordonnance de non-entrée en matière ne prêtait pas le flanc à la critique. Or, dans son écriture du 24 août 2018, la recourante n'aborde d'aucune manière les questions de recevabilité de son recours devant l'autorité cantonale (délai et motivation). Il s'ensuit que les explications de la recourante, qui ne sont, pour l'essentiel, pas topiques, laissent également subsister un pan de la motivation de la décision cantonale suffisant à sceller l'issue de la procédure, ce qui conduit aussi à l'irrecevabilité du recours en matière pénale ( ATF 133 IV 119 consid. 6.3 p. 120).</w:t>
      </w:r>
    </w:p>
    <w:p>
      <w:r>
        <w:rPr>
          <w:b/>
        </w:rPr>
        <w:t>E. 3</w:t>
      </w:r>
    </w:p>
    <w:p>
      <w:r>
        <w:t>L'irrecevabilité est manifeste. Il convient de la constater dans la procédure prévue par l' art. 108 al. 1 let. a et b LTF . La recourante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