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827/2015 vom 19. Oktober 2015</w:t>
      </w:r>
    </w:p>
    <w:p>
      <w:r>
        <w:t>Bundesgericht, 2015-10-19, DE</w:t>
      </w:r>
    </w:p>
    <w:p>
      <w:r>
        <w:rPr>
          <w:b/>
        </w:rPr>
        <w:t xml:space="preserve">Quelle: </w:t>
      </w:r>
      <w:r>
        <w:t>https://mcp.opencaselaw.ch/entscheid/bger_6B_827_2015</w:t>
      </w:r>
    </w:p>
    <w:p>
      <w:r>
        <w:t>FR: TF 6B 827/2015 du 19 octobre 2015</w:t>
      </w:r>
    </w:p>
    <w:p>
      <w:r>
        <w:t>IT: TF 6B 827/2015 del 19 ottobre 2015</w:t>
      </w:r>
    </w:p>
    <w:p>
      <w:pPr>
        <w:pStyle w:val="Heading2"/>
      </w:pPr>
      <w:r>
        <w:t>Regeste</w:t>
      </w:r>
    </w:p>
    <w:p>
      <w:r>
        <w:t>Einstellungsverfügung (Sachbeschädigung, Hausfriedensbruch etc.) | Strafprozess</w:t>
      </w:r>
    </w:p>
    <w:p>
      <w:pPr>
        <w:pStyle w:val="Heading2"/>
      </w:pPr>
      <w:r>
        <w:t>Erwägungen</w:t>
      </w:r>
    </w:p>
    <w:p>
      <w:r>
        <w:rPr>
          <w:b/>
        </w:rPr>
        <w:t>E. 1</w:t>
      </w:r>
    </w:p>
    <w:p>
      <w:r>
        <w:t>Am 30. Dezember 2013 meldete der Beschwerdeführer der Kantonspolizei Obwalden, dass sich am 20. Dezember 2013 mehrere Personen gewaltsam Zugang zu seinem Wohnhaus verschafft und daraus Gegenstände entwendet hätten. Zudem sei es zu Sachbeschädigungen gekommen. Konkret stellte er gegen zwei Personen Strafantrag. Am 11. November 2014 stellte die Staatsanwaltschaft Obwalden das Strafverfahren wegen geringfügigen Diebstahls, Sachbeschädigung und Hausfriedensbruchs ein. Eine dagegen gerichtete Beschwerde wies das Obergericht des Kantons Obwalden am 28. Juli 2015 ab, soweit es darauf eintrat. Der Beschwerdeführer wendet sich ans Bundesgericht und beantragt, der Beschluss vom 28. Juli 2015 sei aufzuheben und es sei festzustellen, dass sich der Beschwerdegegner 2 strafbar gemacht habe.</w:t>
      </w:r>
    </w:p>
    <w:p>
      <w:r>
        <w:rPr>
          <w:b/>
        </w:rPr>
        <w:t>E. 2</w:t>
      </w:r>
    </w:p>
    <w:p>
      <w:r>
        <w:t>Der Privatkläger ist zur Beschwerde in Strafsachen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werden in der Einstellungsverfügung keine Zivilklagen behandelt ( Art. 320 Abs. 3 StPO ). In jedem Fall muss der Privatkläger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 mit Hinweisen). Der Beschwerdeführer äussert sich zur Frage seiner Legitimation nicht. Insbesondere sagt er nicht, auf welche Zivilforderung der angefochtene Entscheid sich auswirken könnte. Dies ergibt sich auch nicht klarerweise aus dem angeklagten Sachverhalt. Als Privatkläger ist der Beschwerdeführer zum vorliegenden Rechtsmittel nicht legitimiert.</w:t>
      </w:r>
    </w:p>
    <w:p>
      <w:r>
        <w:rPr>
          <w:b/>
        </w:rPr>
        <w:t>E. 3</w:t>
      </w:r>
    </w:p>
    <w:p>
      <w:r>
        <w:t>Die Person, die einen Strafantrag stellt, ist zur Beschwerde in Strafsachen berechtigt, soweit es um das Strafantragsrecht als solches geht (Art. 81 Abs. 1 lit. b Ziff. 6 BGG). Im kantonalen Verfahren war und vor Bundesgericht ist strittig, ob der Beschwerdeführer oder seine Mieter zum Tatzeitpunkt Träger des Hausrechts waren bzw. wem die Berechtigung zur Stellung eines Strafantrags wegen Hausfriedensbruchs durch Drittpersonen zukam. In Anwendung von Art. 109 Abs. 3 BGG kann in diesem Punkt auf die zutreffenden Erwägungen der Vorinstanz verwiesen werden (vgl. Beschluss S. 10 E. 6.5). Bleiben die Mieter nach Ablauf des Mietvertrags in der Wohnung, so hat der Vermieter in den gemieteten Räumen zu diesem Zeitpunkt faktisch immer noch keine durch den Tatbestand des Hausfriedensbruchs geschützte Privat- und Geheimsphäre (Urteil 1B_510/2012 vom 16. November 2012 E. 2.3). Folglich ist er auch nicht berechtigt, gegen eine Person, die sich widerrechtlich in den Räumen aufhält, einen Strafantrag wegen Hausfriedensbruchs zu stellen. Da es nach dem Gesagten im vorliegenden Zusammenhang unerheblich ist, ob im Zeitpunkt der Anzeigeerstattung noch ein Mietverhältnis bestand, erübrigt es sich, das Verfahren gemäss dem Antrag des Beschwerdeführers bis zum Abschluss des hängigen Zivilverfahrens zwischen ihm und seinen Mietern zu sistieren.</w:t>
      </w:r>
    </w:p>
    <w:p>
      <w:r>
        <w:rPr>
          <w:b/>
        </w:rPr>
        <w:t>E. 4</w:t>
      </w:r>
    </w:p>
    <w:p>
      <w:r>
        <w:t>Die Beschwerde ist im Verfahren nach Art. 109 BGG abzuweisen, soweit darauf eingetreten werden kann. Bei diesem Ausgang sind die Gerichtskosten dem Beschwerdeführer aufzuerlegen ( Art. 66 Abs. 1 BGG ). Dem Beschwerdegegner 2 ist keine Entschädigung auszurichten,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