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6B_826/2019 vom 21. Januar 2020</w:t>
      </w:r>
    </w:p>
    <w:p>
      <w:r>
        <w:t>Bundesgericht, 2020-01-21, FR</w:t>
      </w:r>
    </w:p>
    <w:p>
      <w:r>
        <w:rPr>
          <w:b/>
        </w:rPr>
        <w:t xml:space="preserve">Quelle: </w:t>
      </w:r>
      <w:r>
        <w:t>https://mcp.opencaselaw.ch/entscheid/bger_6B_826_2019</w:t>
      </w:r>
    </w:p>
    <w:p>
      <w:r>
        <w:t>FR: TF 6B_826/2019 du 21 janvier 2020</w:t>
      </w:r>
    </w:p>
    <w:p>
      <w:r>
        <w:t>IT: TF 6B_826/2019 del 21 gennaio 2020</w:t>
      </w:r>
    </w:p>
    <w:p>
      <w:pPr>
        <w:pStyle w:val="Heading2"/>
      </w:pPr>
      <w:r>
        <w:t>Erwägungen</w:t>
      </w:r>
    </w:p>
    <w:p>
      <w:r>
        <w:rPr>
          <w:b/>
        </w:rPr>
        <w:t>E. 1</w:t>
      </w:r>
    </w:p>
    <w:p>
      <w:r>
        <w:t>Invoquant l' art. 6 CEDH , l' art. 30 Cst. et les art. 56 ss CPP , le recourant reproche à la cour cantonale d'avoir violé la garantie d'un tribunal indépendant et impartial. Selon lui, le jugement attaqué donnerait une apparence de prévention en affirmant que " les plaintes pénales ont toutes été déposées après un épisode de violence " (jugement attaqué p. 21). Il retiendrait également que la plaignante a " expliqué qu'elle se serait disputée avec A.________, qui l'aurait à cette occasion saisie par le bras et secouée jusqu'à ce qu'elle tombe sur le côté gauche " (jugement attaqué p. 11), faits qui ne ressortiraient toutefois pas des déclarations de l'intimée. Le recourant en déduit que la cour cantonale a pris fait et cause pour les différentes versions racontées par l'intimée au cours de ses auditions, au mépris des nombreux éléments au dossier démontrant des incohérences.</w:t>
      </w:r>
    </w:p>
    <w:p>
      <w:r>
        <w:rPr>
          <w:b/>
        </w:rPr>
        <w:t>E. 1.1</w:t>
      </w:r>
    </w:p>
    <w:p>
      <w:r>
        <w:t>La garantie d'un tribunal indépendant et impartial instituée par les art. 30 al. 1 Cst. et 6 par. 1 CEDH, qui ont, de ce point de vue, la même portée,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p. 162 et les arrêts cités). Les art. 56 ss CPP règle la récusation en procédure pénale.</w:t>
      </w:r>
    </w:p>
    <w:p>
      <w:r>
        <w:rPr>
          <w:b/>
        </w:rPr>
        <w:t>E. 1.2</w:t>
      </w:r>
    </w:p>
    <w:p>
      <w:r>
        <w:t>Le recourant n'invoque pas de circonstances extérieures à la cause qui aurait pu influer le jugement en sa défaveur ou en faveur de l'intimée (comme par exemple un lien de parenté ou un rapport d'amitié ou d'inimitié avec une des parties). Le seul fait que la cour cantonale aurait retenu les faits de manière arbitraire ou mal appliqué le droit fédéral ne saurait établir une apparence de prévention et justifier la récusation des juges cantonaux. Il appartient dans un tel cas au recourant de recourir à l'autorité supérieure pour se plaindre de l'établissement arbitraire des faits ou d'une mauvaise application du droit fédéral. Le grief tiré de la violation des art. 30 Cst. , 6 CEDH et 56 ss CPP est donc infondé.</w:t>
      </w:r>
    </w:p>
    <w:p>
      <w:r>
        <w:rPr>
          <w:b/>
        </w:rPr>
        <w:t>E. 2</w:t>
      </w:r>
    </w:p>
    <w:p>
      <w:r>
        <w:t>Le recourant qualifie d'arbitraire l'établissement des faits sur plusieurs points.</w:t>
      </w:r>
    </w:p>
    <w:p>
      <w:r>
        <w:rPr>
          <w:b/>
        </w:rPr>
        <w:t>E. 2.1.1</w:t>
      </w:r>
    </w:p>
    <w:p>
      <w:r>
        <w:t>Le Tribunal fédéral n'est pas une autorité d'appel, auprès de laquelle les faits pourraient être rediscutés librement. Il est lié par les faits établis par l'autorité précédente ( art. 105 al. 1 LTF ), à moins que ceux-ci n'aient été constatés en violation du droit ou de manière manifestement inexacte au sens des art. 97 al. 1 et 105 al. 2 LTF, à savoir, pour l'essentiel, de façon arbitraire au sens de l' art. 9 Cst. ( ATF 144 III 93 consid. 5.2.2 p. 98).</w:t>
      </w:r>
    </w:p>
    <w:p>
      <w:r>
        <w:t>En bref, une décision n'est pas arbitraire du seul fait qu'elle apparaît discutable ou même critiquable; il faut qu'elle soit manifestement insoutenable, et cela non seulement dans sa motivation mais aussi dans son résultat ( ATF 143 IV 500 consid. 1.1 p. 503 et les références citées).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(ibid.).</w:t>
      </w:r>
    </w:p>
    <w:p>
      <w:r>
        <w:t>Le Tribunal fédéral n'entre en matière sur les moyens fondés sur la violation de droits fondamentaux, dont l'interdiction de l'arbitraire, que s'ils ont été invoqués et motivés de manière précise ( art. 106 al. 2 LTF ; ibid.). Les critiques de nature appellatoire sont irrecevables ( ATF 145 I 26 consid. 1.3 p. 30; 142 III 364 consid. 2.4 p. 368).</w:t>
      </w:r>
    </w:p>
    <w:p>
      <w:r>
        <w:rPr>
          <w:b/>
        </w:rPr>
        <w:t>E. 2.1.2</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2.1.3</w:t>
      </w:r>
    </w:p>
    <w:p>
      <w:r>
        <w:t>Les déclarations de la victime constituent un élément de preuve. Le juge doit, dans l'évaluation globale de l'ensemble des éléments probatoires rassemblés au dossier, les apprécier librement (arrêts 6B_346/2019 du 29 mai 2019 consid. 2.2; 6B_1283/2018 du 14 février 2019 consid. 1.3 et les références citées), sous réserve des cas particuliers où une expertise de la crédibilité des déclarations de la victime s'impose (cf. ATF 129 IV 179 consid. 2.4 p. 184).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w:t>
      </w:r>
    </w:p>
    <w:p>
      <w:r>
        <w:rPr>
          <w:b/>
        </w:rPr>
        <w:t>E. 2.2</w:t>
      </w:r>
    </w:p>
    <w:p>
      <w:r>
        <w:t>Le recourant soutient que la cour cantonale a retenu de manière arbitraire qu'il aurait violemment saisi l'intimée par le bras et l'aurait poussée et tirée à plusieurs reprises, ce qui l'aurait fait tomber au sol. Il lui reproche également d'avoir arbitrairement retenu qu'il avait menacé l'intimée (consid. B.b ci-dessus). Il fait valoir que les déclarations de l'intimée sont contradictoires alors que les siennes ont toujours été constantes. Il a ainsi reconnu avoir pris l'intimée par le bras et l'avoir couchée brusquement sur la table à langer de leur fils, puis lui avoir dit d'arrêter de lui faire du mal et être parti.</w:t>
      </w:r>
    </w:p>
    <w:p>
      <w:r>
        <w:rPr>
          <w:b/>
        </w:rPr>
        <w:t>E. 2.2.1</w:t>
      </w:r>
    </w:p>
    <w:p>
      <w:r>
        <w:t>La cour cantonale n'a pas méconnu l'étendue du conflit conjugal et parental existant entre les parties et le fait que les déclarations de l'intimée étaient variables sur plusieurs points. Elle a toutefois retenu les déclarations de l'intimée, dans la mesure où celles-ci étaient corroborées par deux autres éléments, à savoir les déclarations du recourant lui-même et un certificat médical.</w:t>
      </w:r>
    </w:p>
    <w:p>
      <w:r>
        <w:t>Ainsi, elle a relevé que les deux protagonistes s'accordaient pour dire qu'une dispute s'était déroulée le 1er juin 2015; à cet égard, le recourant avait admis qu'il avait bousculé sa compagne et qu'il l'avait plaquée sur la table à langer (procès-verbal d'audition 1, lignes 155-156).</w:t>
      </w:r>
    </w:p>
    <w:p>
      <w:r>
        <w:t>La cour cantonale a en outre noté que les déclarations de l'intimée étaient corroborées par le rapport médical établi le 5 juin 2015 par l'Unité de médecine des violences (UMV) du CHUV. C'est en vain que le recourant reproche à la cour cantonale d'avoir constaté de manière arbitraire que les lésions constatées dans ce certificat médical étaient compatibles avec les faits relatés par l'intimée (cf. jugement attaqué p. 12). Certes, les auteurs du certificat médical n'ont pas pu établir que les lésions avaient été causées par le recourant. Le certificat constate néanmoins que l'intimée souffrait d'abrasions cutanées rougeâtres sur le bras gauche et d'ecchymoses sur les cuisses quatre jours après la dispute intervenue entre les parties. Ces blessures sont objectives et il n'est pas arbitraire de retenir qu'elles sont compatibles avec les déclarations de l'intimée. La cour cantonale n'a ainsi pas versé dans l'arbitraire en retenant que, le 1er juin 2015, le recourant avait frappé l'intimée, ce qui lui avait occasionné des abrasions et des ecchymoses.</w:t>
      </w:r>
    </w:p>
    <w:p>
      <w:r>
        <w:rPr>
          <w:b/>
        </w:rPr>
        <w:t>E. 2.2.2</w:t>
      </w:r>
    </w:p>
    <w:p>
      <w:r>
        <w:t>S'agissant des menaces proférées par le recourant, la cour cantonale a retenu ces faits comme étant établis au motif que les déclarations de l'intimée avaient été constantes. L'intimée a exposé ces faits auprès des médecins de l'Unité de médecine des violences (UMV) du CHUV le 5 juin 2015, puis les a confirmés à la police le 26 septembre 2015, lors de l'audience du 1er décembre 2015 devant le Ministère public et lors des débats de première instance du 4 septembre 2018. Compte tenu de la constance des déclarations de l'intimée, la cour cantonale n'a pas versé dans l'arbitraire en retenant que celles-ci étaient crédibles, et ce malgré les dénégations du recourant. Les griefs soulevés par le recourant sont infondés.</w:t>
      </w:r>
    </w:p>
    <w:p>
      <w:r>
        <w:rPr>
          <w:b/>
        </w:rPr>
        <w:t>E. 2.3</w:t>
      </w:r>
    </w:p>
    <w:p>
      <w:r>
        <w:t>Le recourant reproche à la cour cantonale d'avoir retenu de manière arbitraire qu'il avait traité l'intimée d'" espèce de saloperie " (cf. consid. B.c ci-dessus).</w:t>
      </w:r>
    </w:p>
    <w:p>
      <w:r>
        <w:t>La cour cantonale a retenu ces faits sur la base des déclarations du recourant lui-même qui a admis, lors de l'audition de confrontation du 1er décembre 2015, que la seule chose qu'il avait faite était d'avoir dit " espèce de saloperie " à l'intimée, alors que cette dernière venait de lui dire qu'elle allait déposer une plainte contre lui.</w:t>
      </w:r>
    </w:p>
    <w:p>
      <w:r>
        <w:t>C'est en vain que le recourant fait valoir que l'intimée l'aurait accusé de l'avoir " saisie à la gorge " pour se raviser et préciser qu'il l'aurait en réalité seulement " prise par la veste au niveau du cou " ou encore que l'intimée aurait d'abord déclaré que les faits se seraient déroulés " une fois de retour au domicile ", puis aurait affirmé qu'ils se seraient produits " dans un endroit isolé ". En effet, ces faits ne concernent pas directement l'infraction d'injure, de sorte que les variations dans les déclarations de l'intimée ne sont pas déterminantes. Au vu des déclarations du recourant lui-même, c'est donc sans arbitraire que la cour cantonale a retenu que le recourant avait injurié l'intimée. Les griefs soulevés doivent être rejetés.</w:t>
      </w:r>
    </w:p>
    <w:p>
      <w:r>
        <w:rPr>
          <w:b/>
        </w:rPr>
        <w:t>E. 2.4</w:t>
      </w:r>
    </w:p>
    <w:p>
      <w:r>
        <w:t>Le recourant soutient que la cour cantonale a retenu de manière arbitraire qu'il a déclaré à l'intimée à deux reprises « je vais te tuer » le 13 décembre 2015 à E.________ (consid. B.d ci-dessus). Il reproche à la cour cantonale d'avoir suivi les accusations de l'intimée à défaut de toute preuve venant les corroborer. Il relève que le fait qu'il a reconnu qu'une dispute a eu lieu entre lui et l'intimée ne signifie pas encore que toutes les accusations de l'intimée soient véridiques, comme l'affirme le jugement attaqué. Il fait grief à l'intimée d'avoir instrumentalisé la procédure pénale pour l'empêcher de voir son fils; ainsi, à la suite du dépôt de plainte de l'intimée, la justice de paix aurait rejeté sa requête pour pouvoir voir son fils pendant les vacances de Noël; par la suite, le 10 mars 2016, l'intimée aurait déposé une requête de mesures provisionnelles et superprovisionnelles tendant à instaurer un droit de visite uniquement médiatisé.</w:t>
      </w:r>
    </w:p>
    <w:p>
      <w:r>
        <w:t>L'intimée s'est rendue au poste le 13 décembre 2015 pour dénoncer des faits survenus le même jour entre 16h30 et 18h à E.________. Elle a déclaré que le recourant lui avait dit " je vais te tuer " à deux reprises et qu'il lui avait fait un doigt d'honneur. Elle a confirmé sa déposition devant le tribunal de première instance, ajoutant qu'elle avait pris au sérieux ces menaces, car le souvenir de l'événement du mois de juin 2015 était encore présent dans son esprit. L'intimée n'a ainsi pas varié dans ses déclarations, de sorte que la cour cantonale n'a pas versé dans l'arbitraire en la tenant pour crédible et en retenant que le recourant avait menacé l'intimée de la tuer le 13 décembre 2015. Les griefs soulevés par le recourant doivent être rejetés.</w:t>
      </w:r>
    </w:p>
    <w:p>
      <w:r>
        <w:rPr>
          <w:b/>
        </w:rPr>
        <w:t>E. 2.5</w:t>
      </w:r>
    </w:p>
    <w:p>
      <w:r>
        <w:t>Le recourant reproche à la cour cantonale d'avoir constaté de manière arbitraire que l'intimée n'avait pas instrumentalisé la procédure pénale pour restreindre ses droits sur l'enfant.</w:t>
      </w:r>
    </w:p>
    <w:p>
      <w:r>
        <w:t>La cour cantonale n'a pas méconnu les liens entre les procédures pénale et civile. Elle a complété l'état de fait afin de tenir compte de la procédure civile parallèle à la procédure pénale (jugement attaqué p. 21 consid. 4.2). Elle a constaté que l'intimée avait eu des difficultés à faire confiance au recourant dans son rôle de père (jugement attaqué p. 21 consid. 4.3). On ne peut toutefois pas en déduire que l'intimée aurait faussement dénoncé le recourant au pénal dans le seul et unique but de parvenir à restreindre ou à supprimer ses droits sur leur enfant. La cour cantonale n'a ainsi pas versé dans l'arbitraire en retenant que l'intimée n'avait pas instrumentalisé la procédure pénale pour limiter les droits du recourant sur l'enfant. Le grief soulevé par le recourant doit être rejeté.</w:t>
      </w:r>
    </w:p>
    <w:p>
      <w:r>
        <w:rPr>
          <w:b/>
        </w:rPr>
        <w:t>E. 3</w:t>
      </w:r>
    </w:p>
    <w:p>
      <w:r>
        <w:t>Le recourant conteste sa condamnation pour lésions corporelles simples ( art. 123 CP ). Il soutient que les lésions subies par l'intimée constituent uniquement des voies de fait.</w:t>
      </w:r>
    </w:p>
    <w:p>
      <w:r>
        <w:rPr>
          <w:b/>
        </w:rPr>
        <w:t>E. 3.1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p. 191).</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w:t>
      </w:r>
    </w:p>
    <w:p>
      <w:r>
        <w:t>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 art. 123 ch. 1 al. 2 CP , qui permet une atténuation libre de la peine dans les cas de peu de gravité. Dans les cas limites, il faut tenir compte de l'importance de la douleur provoquée, afin de déterminer s'il s'agit de lésions corporelles simples ou de voies de fait ( ATF 134 IV 189 consid. 1.3 p. 192).</w:t>
      </w:r>
    </w:p>
    <w:p>
      <w:r>
        <w:t>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p. 192).</w:t>
      </w:r>
    </w:p>
    <w:p>
      <w:r>
        <w:rPr>
          <w:b/>
        </w:rPr>
        <w:t>E. 3.2</w:t>
      </w:r>
    </w:p>
    <w:p>
      <w:r>
        <w:t>La cour cantonale a considéré que les atteintes subies par l'intimée étaient constitutives de lésions corporelles simples, au vu des nombreuses marques constatées par l'UMV ainsi que des douleurs ressenties par l'intimée.</w:t>
      </w:r>
    </w:p>
    <w:p>
      <w:r>
        <w:rPr>
          <w:b/>
        </w:rPr>
        <w:t>E. 3.3</w:t>
      </w:r>
    </w:p>
    <w:p>
      <w:r>
        <w:t>Le certificat médical a retenu plusieurs ecchymoses (" bleus "). Il y a donc eu rupture de vaisseaux sanguins avec épanchement sous-cutané. Ces ecchymoses étaient encore visibles quatre jours après les faits et l'une d'elles mesurait 8 cm de large et 4,5 cm de haut. En outre, l'intimée se plaignait de douleurs à la jambe gauche. Au vu de ces constatations, la cour cantonale n'a pas excédé la marge d'appréciation dont elle bénéficiait à cet égard et, partant, n'a pas violé le droit fédéral en condamnant le recourant pour lésions corporelles simples. Le grief doit être rejeté.</w:t>
      </w:r>
    </w:p>
    <w:p>
      <w:r>
        <w:rPr>
          <w:b/>
        </w:rPr>
        <w:t>E. 4</w:t>
      </w:r>
    </w:p>
    <w:p>
      <w:r>
        <w:t>Le recourant se plaint d'une violation de l' art. 177 al. 2 CP . Il soutient qu'il aurait dû être exempté de toute peine, puisque l'intimée aurait proféré des injures à son encontre et qu'il n'aurait fait que riposter.</w:t>
      </w:r>
    </w:p>
    <w:p>
      <w:r>
        <w:t>L' art. 177 al. 2 CP prévoit que le juge pourra exempter le délinquant de toute peine si l'injurié a directement provoqué l'injure par une conduite répréhensible. Le juge ne peut faire usage de cette faculté que si l'injure a consisté en une réaction immédiate à un comportement répréhensible de l'injurié, lequel peut consister en une provocation ou en tout autre comportement blâmable ( ATF 117 IV 270 consid. 2c p. 173). La notion d'immédiateté doit être comprise comme une notion de temps dans le sens que l'auteur doit avoir agi sous le coup de l'émotion provoquée par la conduite répréhensible de l'injurié, sans avoir eu le temps de réfléchir tranquillement ( ATF 83 IV 151 p. 151 s.).</w:t>
      </w:r>
    </w:p>
    <w:p>
      <w:r>
        <w:t>La cour cantonale a retenu que les faits allégués par le recourant n'étaient pas établis. Le recourant aurait d'abord déclaré le 26 septembre 2015 que l'intimée l'avait traité de " gros connard " et de " sale chien ", puis, le 1er décembre 2015, que l'intimée voulait déposer une plainte pénale contre lui et, à l'audience du 4 septembre 2018, qu'il y avait eu des injures des deux côtés (jugement de première instance p. 14). Dans la mesure où les déclarations du recourant ne sont pas constantes et qu'elles ne sont confirmées par aucun autre élément du dossier, la cour cantonale n'a pas versé dans l'arbitraire en refusant de retenir que l'intimée avait injurié le recourant. Le grief soulevé, qui se fonde sur un autre état de fait que celui retenu par la cour cantonale, est irrecevable.</w:t>
      </w:r>
    </w:p>
    <w:p>
      <w:r>
        <w:rPr>
          <w:b/>
        </w:rPr>
        <w:t>E. 5</w:t>
      </w:r>
    </w:p>
    <w:p>
      <w:r>
        <w:t>Le recourant conclut à l'allocation d'une indemnité en application de l' art. 429 CPP . Cette conclusion doit être rejetée, compte tenu de l'issue du recours.</w:t>
      </w:r>
    </w:p>
    <w:p>
      <w:r>
        <w:rPr>
          <w:b/>
        </w:rPr>
        <w:t>E. 6</w:t>
      </w:r>
    </w:p>
    <w:p>
      <w:r>
        <w:t>Le recours doit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