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825/2015 vom 22. Oktober 2015</w:t>
      </w:r>
    </w:p>
    <w:p>
      <w:r>
        <w:t>Bundesgericht, 2015-10-22, FR</w:t>
      </w:r>
    </w:p>
    <w:p>
      <w:r>
        <w:rPr>
          <w:b/>
        </w:rPr>
        <w:t xml:space="preserve">Quelle: </w:t>
      </w:r>
      <w:r>
        <w:t>https://mcp.opencaselaw.ch/entscheid/bger_6B_825_2015</w:t>
      </w:r>
    </w:p>
    <w:p>
      <w:r>
        <w:t>FR: TF 6B 825/2015 du 22 octobre 2015</w:t>
      </w:r>
    </w:p>
    <w:p>
      <w:r>
        <w:t>IT: TF 6B 825/2015 del 22 ottobre 2015</w:t>
      </w:r>
    </w:p>
    <w:p>
      <w:pPr>
        <w:pStyle w:val="Heading2"/>
      </w:pPr>
      <w:r>
        <w:t>Regeste</w:t>
      </w:r>
    </w:p>
    <w:p>
      <w:r>
        <w:t>Fixation de la peine (tentative d'assassinat, assassinat, etc.) | Droit pénal (en général)</w:t>
      </w:r>
    </w:p>
    <w:p>
      <w:pPr>
        <w:pStyle w:val="Heading2"/>
      </w:pPr>
      <w:r>
        <w:t>Erwägungen</w:t>
      </w:r>
    </w:p>
    <w:p>
      <w:r>
        <w:rPr>
          <w:b/>
        </w:rPr>
        <w:t>E. 1</w:t>
      </w:r>
    </w:p>
    <w:p>
      <w:r>
        <w:t>Le recourant critique la peine privative de liberté qui lui a été infligée. Il la considère excessivement sévère.</w:t>
      </w:r>
    </w:p>
    <w:p>
      <w:r>
        <w:rPr>
          <w:b/>
        </w:rPr>
        <w:t>E. 1.1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Pour fixer la peine, le juge dispose d'un large pouvoir d'appréciation. Il y a toutefois violation du droit fédéral lorsque le juge sort du cadre légal, se fonde sur des critères étrangers à l' art. 47 CP , omet de prendre en considération des éléments d'appréciation prévus par cette disposition ou, enfin, si la peine qu'il prononce est exagérément sévère ou clémente au point de constituer un abus du pouvoir d'appréciation ( ATF 136 IV 55 consid. 5.6 p 61; 135 IV 130 consid. 5.3.1, p. 134 s.; 134 IV 17 consid. 2.1; 129 IV 6 consid. 6.1 et les références citées).</w:t>
      </w:r>
    </w:p>
    <w:p>
      <w:r>
        <w:rPr>
          <w:b/>
        </w:rPr>
        <w:t>E. 1.2</w:t>
      </w:r>
    </w:p>
    <w:p>
      <w:r>
        <w:t>Le recourant reproche à la cour cantonale d'avoir méconnu certains éléments factuels d'importance (en particulier son investissement dans sa relation avec A.________ et sa relation quasi affective avec son bateau) au regard de son profil psychologique. La cour cantonale a résumé le contexte de l'affaire, relevant en particulier que le recourant avait aidé la victime, qui était confrontée à des difficultés financières, en retirant son deuxième pilier. Elle a exposé que le recourant souffrait d'un trouble de la personnalité schizoïde et qu'il avait une relation affective avec son bateau, qu'il considérait comme son " bébé ". Elle a considéré que les troubles psychologiques dont souffrait le recourant et son quotient intellectuel global bas devaient influer sur la peine. Concernant plus particulièrement la tentative d'assassinat à l'encontre de A.________, elle a confronté cet acte à la conviction subjective du recourant que A.________ lui avait fait grand tort, ainsi qu'à la menace que celui-ci avait perçue à l'encontre de " son bébé ". Dans ces conditions, le Tribunal fédéral ne saurait retenir que la cour cantonale a méconnu le profil psychologique particulier du recourant. Le grief soulevé doit être rejeté.</w:t>
      </w:r>
    </w:p>
    <w:p>
      <w:r>
        <w:rPr>
          <w:b/>
        </w:rPr>
        <w:t>E. 1.3</w:t>
      </w:r>
    </w:p>
    <w:p>
      <w:r>
        <w:t>Le recourant considère que la cour cantonale aurait dû tenir compte de sa sensibilité particulière à la sanction, du fait de sa maladie. Il explique que celle-ci, issue d'un autisme infantile ou non soigné, rend difficile la détention et la vie en milieu carcéral, à savoir en contact direct avec d'autres personnes. Selon la jurisprudence, la vulnérabilité face à la peine ne doit être retenue comme circonstance atténuante que si elle rend la sanction considérablement plus dure que pour la moyenne des autres condamnés, par exemple, pour une peine privative de liberté, en présence de maladies graves, de psychoses claustrophobiques ou de surdimutité (cf. arrêt 6B_14/2007 du 17 avril 2007 consid. 6.4). En soutenant que sa maladie rend la détention et la vie en milieu carcéral manifestement délicate, le recourant s'écarte de l'état de fait cantonal. Comme motivation, il se réfère, sans autre précision, aux différents critères du trouble schizoïde mentionnés en page 12 du jugement cantonal. Parmi ceux-ci, on trouve certes un désintérêt pour les relations amicales et une absence d'amis proches ou de confidents. Or, d'une part, la cour cantonale n'a pas retenu précisément que le recourant remplissait ce critère. D'autre part, ce critère n'implique pas encore que la détention soit rendue considérablement plus dure pour le recourant que pour les autres condamnés. Dans la mesure où le recourant fait valoir un élément qui ne ressort pas du jugement cantonal (art. 97 al. 1 et 105 al. 1 LTF) et qu'il n'établit pas que celui-ci aurait été omis de manière arbitraire par la cour cantonale ( art. 106 al. 2 LTF ), son grief est irrecevable.</w:t>
      </w:r>
    </w:p>
    <w:p>
      <w:r>
        <w:rPr>
          <w:b/>
        </w:rPr>
        <w:t>E. 1.4</w:t>
      </w:r>
    </w:p>
    <w:p>
      <w:r>
        <w:t>Le recourant soutient que la cour cantonale aurait dû faire application des circonstances atténuantes définies à l' art. 48 let . c CP (émotion violente) ou à l' art. 48 let. a ch. 2 CP (détresse profonde).</w:t>
      </w:r>
    </w:p>
    <w:p>
      <w:r>
        <w:rPr>
          <w:b/>
        </w:rPr>
        <w:t>E. 1.4.1</w:t>
      </w:r>
    </w:p>
    <w:p>
      <w:r>
        <w:t>Selon l' art. 48 let . c CP, le juge atténue la peine si l'auteur a agi en proie à une émotion violente que les circonstances rendaient excusable. L'émotion violente est un état psychologique particulier, d'origine émotionnelle et non pathologique, qui se manifeste lorsque l'auteur est submergé par un sentiment violent qui restreint dans une certaine mesure sa faculté d'analyser correctement la situation ou de se maîtriser ( ATF 119 IV 202 consid. 2a p. 203). Les circonstances doivent rendre l'émotion violente excusable, ce qui suppose une appréciation objective en fonction de critères d'ordre moral. L'émotion violente doit apparaître humainement explicable en raison des circonstances, en ce sens qu'une personne convenable, raisonnable, aurait pu aisément l'éprouver dans la même situation ( ATF 107 IV 103 consid. 2b/bb p. 106). C'est ainsi qu'une anomalie mentale ne saurait rendre excusable une réaction en soi incompréhensible. Celle-ci doit être prise en considération pour apprécier la culpabilité de l'auteur et non pas le caractère excusable de ses réactions ( ATF 107 IV 161 consid. 2 p. 162). En l'espèce, la réaction du recourant, lorsqu'il a appris que A.________ avait annulé le permis de son bateau, n'est pas celle d'une personne raisonnable. Comme l'a expliqué la cour cantonale, elle est due aux circonstances qui touchent à la personnalité du recourant, en particulier à son trouble de sa personnalité schizoïde. Ces circonstances -exceptionnelles - ne sauraient fonder le caractère excusable de sa réaction, mais peuvent être prise en considération au stade de l'appréciation de la faute. C'est donc à juste titre que la cour cantonale a tenu compte du trouble de la personnalité du recourant pour apprécier sa culpabilité, sans retenir la circonstance atténuante de l'émotion violente. Le grief soulevé doit être rejeté.</w:t>
      </w:r>
    </w:p>
    <w:p>
      <w:r>
        <w:rPr>
          <w:b/>
        </w:rPr>
        <w:t>E. 1.4.2</w:t>
      </w:r>
    </w:p>
    <w:p>
      <w:r>
        <w:t>L' art. 48 let. a ch. 2 CP prévoit comme circonstance atténuante la détresse profonde. Selon la jurisprudence, il y a détresse profonde lorsque l'auteur est poussé à transgresser la loi pénale par une situation proche de l'état de nécessité, c'est-à-dire que, sous la pression d'une détresse particulièrement grave, il croit ne pouvoir trouver d'autre issue que la commission de l'infraction ( ATF 107 IV 94 consid. 4a, p. 95). En outre, le bénéfice de cette circonstance atténuante ne peut être accordé que si l'auteur a respecté une certaine proportionnalité entre les motifs qui le poussent à agir et l'importance du bien qu'il lèse ( ATF 110 IV 9 consid. 2 p. 10). Il ressort du jugement attaqué que le recourant s'en est pris à A.________, car il s'était senti trahi. Il ne s'agissait même pas de sauver son bateau. Le recourant ne se trouvait pas dans une situation proche de celle d'un état de nécessité, de sorte que l' art. 48 let. a ch. 2 CP n'entre pas en considération. Le grief soulevé doit être rejeté.</w:t>
      </w:r>
    </w:p>
    <w:p>
      <w:r>
        <w:rPr>
          <w:b/>
        </w:rPr>
        <w:t>E. 1.5</w:t>
      </w:r>
    </w:p>
    <w:p>
      <w:r>
        <w:t>En définitive, la cour cantonale n'a pas omis d'élément important lors de la fixation de la peine. Il convient encore d'examiner si, au vu des circonstances, la peine infligée apparaît sévère au point de constituer un abus du pouvoir d'appréciation. Le recourant s'est rendu coupable, principalement, d'assassinat, de tentative d'assassinat et d'incendie intentionnel, en concours ( art. 49 CP ). Le seul assassinat de B.________ doit être sanctionné d'une peine minimale de dix ans de peine privative de liberté et pouvant aller jusqu'à la peine privative de liberté à vie; cette peine doit ensuite être augmentée dans une juste proportion afin de sanctionner les autres infractions commises (à savoir notamment la tentative d'assassinat de A.________ et l'incendie intentionnel). A décharge, il convient de tenir compte de l'existence de troubles psychologiques importants, des excuses formulées et d'une bonne collaboration en cours d'enquête. Au vu des circonstances et compte tenu du concours d'infractions, une peine privative de liberté de quinze ans paraît proportionnée. Le grief tiré de la violation de l' art. 47 CP est donc infondé.</w:t>
      </w:r>
    </w:p>
    <w:p>
      <w:r>
        <w:rPr>
          <w:b/>
        </w:rPr>
        <w:t>E. 2</w:t>
      </w:r>
    </w:p>
    <w:p>
      <w:r>
        <w:t>Le recours doit être rejeté dans la mesure de sa recevabilité. Comme ses conclusions étaient vouées à l'échec, l'assistance judiciaire ne peut être accordée ( art. 64 al. 1 LTF ). Le recourant devra donc supporter les frais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