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6B_825/2009 vom 24. September 2009</w:t>
      </w:r>
    </w:p>
    <w:p>
      <w:r>
        <w:t>Bundesgericht, 2009-09-24, DE</w:t>
      </w:r>
    </w:p>
    <w:p>
      <w:r>
        <w:rPr>
          <w:b/>
        </w:rPr>
        <w:t xml:space="preserve">Quelle: </w:t>
      </w:r>
      <w:r>
        <w:t>https://mcp.opencaselaw.ch/entscheid/bger_6B_825_2009</w:t>
      </w:r>
    </w:p>
    <w:p>
      <w:r>
        <w:t>FR: TF 6B_825/2009 du 24 septembre 2009</w:t>
      </w:r>
    </w:p>
    <w:p>
      <w:r>
        <w:t>IT: TF 6B_825/2009 del 24 settembre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Eine Beschwerde ans Bundesgericht ist innert 30 Tagen nach der Eröffnung der vollständigen Ausfertigung des angefochtenen Entscheids beim Bundesgericht einzureichen ( Art. 100 Abs. 1 BGG ). Der angefochtene Entscheid SK 2007.18 des Bundesstrafgerichts, Strafkammer, vom 16. September 2008 wurde in Bezug auf E. 6 sowie Dispositiv Ziff. 7, 8 und 9 einem Rechtsanwalt als Vertreter der Beschwerdeführerin gemäss Empfangsbestätigung am 24. Juni 2009 ausgehändigt. Die Beschwerde hätte daher, um rechtzeitig zu sein, unter Berücksichtigung des Fristenstillstandes von Art. 46 Abs. 1 lit. b BGG spätestens am 25. August 2009 beim Bundesgericht eingereicht sein müssen. Die Beschwerde vom 17. September 2009 ist verspätet. Darauf ist im Verfahren nach Art. 108 BGG nicht einzutreten.</w:t>
      </w:r>
    </w:p>
    <w:p>
      <w:r>
        <w:rPr>
          <w:b/>
        </w:rPr>
        <w:t>E. 2</w:t>
      </w:r>
    </w:p>
    <w:p>
      <w:r>
        <w:t>Die Gerichtskosten sind der Beschwerdeführerin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