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6B_824/2021 vom 8. September 2021</w:t>
      </w:r>
    </w:p>
    <w:p>
      <w:r>
        <w:t>Bundesgericht, 2021-09-08, FR</w:t>
      </w:r>
    </w:p>
    <w:p>
      <w:r>
        <w:rPr>
          <w:b/>
        </w:rPr>
        <w:t xml:space="preserve">Quelle: </w:t>
      </w:r>
      <w:r>
        <w:t>https://mcp.opencaselaw.ch/entscheid/bger_6B_824_2021</w:t>
      </w:r>
    </w:p>
    <w:p>
      <w:r>
        <w:t>FR: TF 6B_824/2021 du 8 septembre 2021</w:t>
      </w:r>
    </w:p>
    <w:p>
      <w:r>
        <w:t>IT: TF 6B_824/2021 del 8 settembre 2021</w:t>
      </w:r>
    </w:p>
    <w:p>
      <w:pPr>
        <w:pStyle w:val="Heading2"/>
      </w:pPr>
      <w:r>
        <w:t>Erwägungen</w:t>
      </w:r>
    </w:p>
    <w:p>
      <w:r>
        <w:rPr>
          <w:b/>
        </w:rPr>
        <w:t>E. 1</w:t>
      </w:r>
    </w:p>
    <w:p>
      <w:r>
        <w:t>Par acte daté du 3 juillet 2021, complété par un message électronique du 17 août 2021, A.________ recourt en matière pénale au Tribunal fédéral contre une ordonnance 30 juin 2021, par laquelle la Chambre pénale du Tribunal cantonal valaisan a déclaré irrecevable le recours interjeté par l'intéressé contre une ordonnance du 20 mai 2021, par laquelle le ministère public a refusé d'entrer en matière ensuite d'un courrier du 14 mai 2021 dans lequel le précité déclarait porter plainte contre diverses personnes et institutions.</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145 IV 154 consid. 1.1 p. 156).</w:t>
      </w:r>
    </w:p>
    <w:p>
      <w:r>
        <w:rPr>
          <w:b/>
        </w:rPr>
        <w:t>E. 3</w:t>
      </w:r>
    </w:p>
    <w:p>
      <w:r>
        <w:t>En l'espèce, l'autorité précédente a exposé que la motivation du recours cantonal ne se rapportait pas de manière compréhensible à l'objet du litige, le recourant se bornant à réitérer des affirmations étranges, sans prendre position sur l'argumentation du ministère public. Par surabondance, on ne décelait pas d'indices suffisants de la commission d'une infraction pénale dans les explications décousues de l'intéressé.</w:t>
      </w:r>
    </w:p>
    <w:p>
      <w:r>
        <w:rPr>
          <w:b/>
        </w:rPr>
        <w:t>E. 4</w:t>
      </w:r>
    </w:p>
    <w:p>
      <w:r>
        <w:t>Dans son écriture, puis dans son message électronique (de surcroît non signé), tous deux peu intelligibles, le recourant ne discute d'aucune manière ces questions de motivation. Il se limite à enchaîner des affirmations et des questions dont on peine à saisir quelles relations elles entretiennent entre elles et avec la décision cantonale. On n'y discerne en tout cas rien de topique.</w:t>
      </w:r>
    </w:p>
    <w:p>
      <w:r>
        <w:rPr>
          <w:b/>
        </w:rPr>
        <w:t>E. 5</w:t>
      </w:r>
    </w:p>
    <w:p>
      <w:r>
        <w:t>La motivation du recours est manifestement insuffisante, ce qu'il convient de constater dans la procédure prévue par l' art. 108 al. 1 let. b LTF . Il y a lieu de statuer exceptionnellement sans frais ( art. 66 al. 1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