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824/2020 vom 10. Februar 2021</w:t>
      </w:r>
    </w:p>
    <w:p>
      <w:r>
        <w:t>Bundesgericht, 2021-02-10, FR</w:t>
      </w:r>
    </w:p>
    <w:p>
      <w:r>
        <w:rPr>
          <w:b/>
        </w:rPr>
        <w:t xml:space="preserve">Quelle: </w:t>
      </w:r>
      <w:r>
        <w:t>https://mcp.opencaselaw.ch/entscheid/bger_6B_824_2020</w:t>
      </w:r>
    </w:p>
    <w:p>
      <w:r>
        <w:t>FR: TF 6B 824/2020 du 10 février 2021</w:t>
      </w:r>
    </w:p>
    <w:p>
      <w:r>
        <w:t>IT: TF 6B 824/2020 del 10 febbraio 2021</w:t>
      </w:r>
    </w:p>
    <w:p>
      <w:pPr>
        <w:pStyle w:val="Heading2"/>
      </w:pPr>
      <w:r>
        <w:t>Regeste</w:t>
      </w:r>
    </w:p>
    <w:p>
      <w:r>
        <w:t>Ordonnance de classement (abus de confiance)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cas d'infractions commises au préjudice d'une communauté héréditaire, les héritiers individuellement sont considérés comme des lésés au sens de l' art. 115 al. 1 CPP . L'héritier lésé qui s'est constitué partie plaignante par le dépôt d'une plainte pénale est, en qualité de partie, légitimé à recourir, sur le plan cantonal, contre la décision de non-entrée en matière, sans le concours des autres héritiers ( ATF 141 IV 380 consid. 2.3.3 à 2.3.5 p. 385 ss). Selon l' art. 81 al. 1 ch. 5 LTF , la partie plaignante ne peut recourir au Tribunal fédéral que si la décision attaquée peut avoir des effets sur le jugement de ses prétentions civiles. Cela implique que la partie plaignante recourante soit titulaire des prétentions civiles. Or, lorsqu'il y a plusieurs héritiers, tous les droits et obligations compris dans la succession restent indivis jusqu'au partage ( art. 602 al. 1 CC ). Les héritiers sont propriétaires et disposent en commun, au sens des art. 652 ss CC , des biens qui dépendent de la succession ( art. 602 al. 2 CC ). La communauté héréditaire est - comme la société simple ( art. 530 ss CO ) - une communauté en main commune. En tant que telle, elle constitue une communauté de droit sans personnalité juridique qui, en l'absence de jouissance des droits civils, ne peut être titulaire de droits ou être soumise à des obligations. Seuls les héritiers sont titulaires des biens de la succession ( ATF 141 IV 380 consid. 2.3.2 p. 384 et les références citées). Par conséquent, pour qu'un recours en matière pénale devant le Tribunal fédéral soit recevable dans le cadre d'infractions commises au préjudice d'une communauté héréditaire, il est nécessaire que l'ensemble des héritiers participent à la procédure, dès lors qu'ils ne sont titulaires de prétentions civiles que tous ensemble (cf. arrêts 6B_1306/2018 du 7 janvier 2019 consid. 2; 6B_1162/2016 du 27 avril 2017 consid. 1.2 et les références citées).</w:t>
      </w:r>
    </w:p>
    <w:p>
      <w:r>
        <w:rPr>
          <w:b/>
        </w:rPr>
        <w:t>E. 1.3</w:t>
      </w:r>
    </w:p>
    <w:p>
      <w:r>
        <w:t>Les recourants ont conclu que D.________ et C.________ soient condamnés à leur payer 1'141'464 fr., montant qui, selon eux, représente le capital de la société panaméenne P.________ Inc. au 31 mars 2001 détourné de la succession de E.________. Sur la première page de leur recours, ils indiquent que " les autres héritiers ont renoncé à procéder au pénal au profit des deux frères A.________ et B.________ ". Il est admis qu'un héritier qui est au bénéfice d'une renonciation des autres héritiers peut agir seul contre un tiers (FABIENNE HOHL, Procédure civile, tome I, 2e éd., 2016, n° 905 s.; ANTOINETTE ET JACQUES HALDY, L'hoirie et les héritiers en procédure civile, in: L'arbre de la méthode et ses fruits civils, Recueil de travaux en l'honneur du Professeur Suzette Sandoz, p. 371 ss). En l'occurrence, les recourants n'établissent toutefois pas, par pièces, que les autres héritiers ont renoncé à leurs droits à leur profit. En annexe à la plainte pénale, on trouve certes des lettres de certains héritiers, par lesquelles ceux-ci renoncent à s'associer à la procédure introduite contre les exécuteurs testamentaires. On ignore toutefois si ces lettres, dont certaines sont datées de 2007, se rapportent à la présente procédure. On ne sait pas non plus ce qu'il en est des autres héritiers, non signataires de ces lettres. Les recourants ne donnent aucune explication à ce sujet. En l'absence de motivation claire sur ces questions, la qualité pour recourir sur le fond de la cause, en application de l' art. 81 al. 1 ch. 5 LTF , doit être refusée aux recourants.</w:t>
      </w:r>
    </w:p>
    <w:p>
      <w:r>
        <w:rPr>
          <w:b/>
        </w:rPr>
        <w:t>E. 2</w:t>
      </w:r>
    </w:p>
    <w:p>
      <w:r>
        <w:t>Le recours doit être déclaré irrecevable. Les recourants, qui succombent, devront supporter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