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824/2007 vom 17. April 2008</w:t>
      </w:r>
    </w:p>
    <w:p>
      <w:r>
        <w:t>Bundesgericht, 2008-04-17, FR</w:t>
      </w:r>
    </w:p>
    <w:p>
      <w:r>
        <w:rPr>
          <w:b/>
        </w:rPr>
        <w:t xml:space="preserve">Quelle: </w:t>
      </w:r>
      <w:r>
        <w:t>https://mcp.opencaselaw.ch/entscheid/bger_6B_824_2007</w:t>
      </w:r>
    </w:p>
    <w:p>
      <w:r>
        <w:t>FR: TF 6B 824/2007 du 17 avril 2008</w:t>
      </w:r>
    </w:p>
    <w:p>
      <w:r>
        <w:t>IT: TF 6B 824/2007 del 17 aprile 2008</w:t>
      </w:r>
    </w:p>
    <w:p>
      <w:pPr>
        <w:pStyle w:val="Heading2"/>
      </w:pPr>
      <w:r>
        <w:t>Regeste</w:t>
      </w:r>
    </w:p>
    <w:p>
      <w:r>
        <w:t>Concurrence déloyale | Infractions</w:t>
      </w:r>
    </w:p>
    <w:p>
      <w:pPr>
        <w:pStyle w:val="Heading2"/>
      </w:pPr>
      <w:r>
        <w:t>Erwägungen</w:t>
      </w:r>
    </w:p>
    <w:p>
      <w:r>
        <w:rPr>
          <w:b/>
        </w:rPr>
        <w:t>E. 1.1</w:t>
      </w:r>
    </w:p>
    <w:p>
      <w:r>
        <w:t>Le recours en matière pénale peut être formé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De surcroît, il ne peut pas entrer en matière sur la violation d'un droit constitutionnel ou sur une question relevant du droit cantonal ou intercantonal si le grief n'a pas été invoqué et motivé de manière précise par la partie recourante ( art. 106 al. 2 LTF ); dans ces cas, les exigences de motivation correspondent à celles qui résultaient de l' art. 90 al. 1 let. b OJ ( ATF 133 III 639 consid. 2).</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 ATF 133 II 249 consid. 1.2.2). En matière de constatation des faits et d'appréciation des preuves, le Tribunal fédéral se montre réservé, vu le large pouvoir qu'il reconnaît aux autorités cantonales dans ce domaine ( ATF 120 Ia 31 consid. 4b).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2</w:t>
      </w:r>
    </w:p>
    <w:p>
      <w:r>
        <w:t>Invoquant une violation des art. 2, 3 et 23 LCD , les recourants contestent leur condamnation pour concurrence déloyale.</w:t>
      </w:r>
    </w:p>
    <w:p>
      <w:r>
        <w:rPr>
          <w:b/>
        </w:rPr>
        <w:t>E. 2.1</w:t>
      </w:r>
    </w:p>
    <w:p>
      <w:r>
        <w:t>Ils nient tout d'abord que leur comportement ait pu modifier les rapports de concurrence.</w:t>
      </w:r>
    </w:p>
    <w:p>
      <w:r>
        <w:rPr>
          <w:b/>
        </w:rPr>
        <w:t>E. 2.1.1</w:t>
      </w:r>
    </w:p>
    <w:p>
      <w:r>
        <w:t>Selon l' art. 1 LCD ,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qui de plus doit être licite.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 ATF 126 III 198 consid. 2 c/aa; 124 III 297 consid. 5d, 124 IV 262 consid. 2b, 120 II 76 consid. 3a).</w:t>
      </w:r>
    </w:p>
    <w:p>
      <w:r>
        <w:rPr>
          <w:b/>
        </w:rPr>
        <w:t>E. 2.1.2</w:t>
      </w:r>
    </w:p>
    <w:p>
      <w:r>
        <w:t>Dans la mesure où les recourants prétendent que les faits retenus ne sont ni analysés, ni développés, leurs critiques sont irrecevables. En effet, ils s'en prennent ainsi à l'appréciation des preuves, sans toutefois alléguer, ni démontrer d'arbitraire conformément au prescrit de l' art. 106 al. 2 LTF (cf. supra consid. 1.2). Selon les faits retenus qui lient l'autorité de céans, plusieurs communes ont, suite aux courriers des recourants, suspendu leur collaboration avec l'intimé jusqu'à droit jugé dans la présente cause. Or, cette suspension est objectivement de nature à désavantager l'entreprise A.________ par rapport à ses concurrents et à lui faire perdre des parts de marché, étant rappelé pour le surplus qu'il n'est pas nécessaire que l'intimé subisse un dommage. Il suffit effectivement, comme en l'occurrence, que les allégations incriminées soient aptes à influencer la concurrence (cf. arrêt 6S.858/1999 du 16 août 2007 consid. 7b/dd). Dès lors, l'autorité cantonale n'a pas violé le droit fédéral en admettant que les courriers des recourants avaient eu une influence sur le fonctionnement du marché au sens de la LCD.</w:t>
      </w:r>
    </w:p>
    <w:p>
      <w:r>
        <w:rPr>
          <w:b/>
        </w:rPr>
        <w:t>E. 2.2</w:t>
      </w:r>
    </w:p>
    <w:p>
      <w:r>
        <w:t>Les recourants contestent ensuite avoir dénigré l'intimé par leurs courriers.</w:t>
      </w:r>
    </w:p>
    <w:p>
      <w:r>
        <w:rPr>
          <w:b/>
        </w:rPr>
        <w:t>E. 2.2.1</w:t>
      </w:r>
    </w:p>
    <w:p>
      <w:r>
        <w:t>Aux termes de l' art. 3 let. a LCD ,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 ATF 122 IV 33 consid. 2c).</w:t>
      </w:r>
    </w:p>
    <w:p>
      <w:r>
        <w:rPr>
          <w:b/>
        </w:rPr>
        <w:t>E. 2.2.2</w:t>
      </w:r>
    </w:p>
    <w:p>
      <w:r>
        <w:t>Dans la large mesure où les recourants invoquent des faits sans pertinence pour la cause, s'écartent des constatations cantonales, ou s'en prennent à l'appréciation des preuves, sans toutefois alléguer ni démontrer d'arbitraire à ce sujet, leurs critiques sont infondées (cf. supra consid. 1.2). Selon les faits retenus, les recourants ont affirmé que le concept proposé par l'intimé poussait les clients à aller chercher à l'étranger des cartes d'abonnements aux chaînes à péage, et donc d'agir en toute illégalité au regard du droit suisse. Ils ont maintenu leurs propos à plusieurs reprises et invité leurs destinataires à les diffuser à large échelle. Les recourants ont ainsi accusé leur concurrent d'instigation à la violation de la loi, ce qui constitue manifestement un comportement déshonorant et méprisable. Dans ces conditions, l'autorité cantonale pouvait, sans violation de l' art. 3 let. a LCD , admettre que la correspondance incriminée dénigrait l'activité de l'intimé.</w:t>
      </w:r>
    </w:p>
    <w:p>
      <w:r>
        <w:rPr>
          <w:b/>
        </w:rPr>
        <w:t>E. 2.3</w:t>
      </w:r>
    </w:p>
    <w:p>
      <w:r>
        <w:t>Les recourants contestent enfin le caractère inexact, fallacieux ou inutilement blessant de leurs courriers. Ils expliquent que le système mis en place par l'intimé est illégal car contraire à la LDA et à l' art. 150bis CP .</w:t>
      </w:r>
    </w:p>
    <w:p>
      <w:r>
        <w:rPr>
          <w:b/>
        </w:rPr>
        <w:t>E. 2.3.1</w:t>
      </w:r>
    </w:p>
    <w:p>
      <w:r>
        <w:t>Une allégation n'est pas déjà illicite au sens de l' 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w:t>
      </w:r>
    </w:p>
    <w:p>
      <w:r>
        <w:rPr>
          <w:b/>
        </w:rPr>
        <w:t>E. 2.3.2</w:t>
      </w:r>
    </w:p>
    <w:p>
      <w:r>
        <w:t>Le contenu des courriers litigieux peut se révéler partiellement exact dans la mesure où certains clients de l'intimé risquent de vouloir capter des émissions cryptées à l'aide de cartes non disponibles en Suisse qu'ils auraient achetées à l'étranger, où ils se seraient constitué une adresse fictive, ce qui est susceptible de violer le droit suisse. En revanche, l'allégation incriminée est inexacte et fallacieuse, dans la mesure où elle laisse croire, de manière erronée, que l'intimé inciterait directement ses clients à se procurer illégalement des cartes à l'étranger et que ceux-ci feraient uniquement un usage litigieux des installations mises à disposition. De plus, les correspondances des recourants suscitent également la fausse impression que seul le concept de l'intimé pousserait à violer la loi, alors que ce dernier n'a pas le monopole de la pose d'antennes permettant le décryptage d'émissions dont les droits d'auteur pour le territoire suisse n'auraient éventuellement pas été acquittés par les chaînes émettrices. Dans ces conditions, la Cour de justice n'a pas violé l' art. 3 let. a LCD en admettant que les recourants avaient donné une image trompeuse et négative de l'intimé.</w:t>
      </w:r>
    </w:p>
    <w:p>
      <w:r>
        <w:rPr>
          <w:b/>
        </w:rPr>
        <w:t>E. 3</w:t>
      </w:r>
    </w:p>
    <w:p>
      <w:r>
        <w:t>En conclusion, le recours est rejeté dans la mesure où il est recevable. Les recourants, qui succombent, supporteront les frais judiciaires ( art. 66 al. 1 LTF ) et verseront des dépens à l'intimé (art. 68 al. 1 et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