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823/2023 vom 24. Juli 2023</w:t>
      </w:r>
    </w:p>
    <w:p>
      <w:r>
        <w:t>Bundesgericht, 2023-07-24, DE</w:t>
      </w:r>
    </w:p>
    <w:p>
      <w:r>
        <w:rPr>
          <w:b/>
        </w:rPr>
        <w:t xml:space="preserve">Quelle: </w:t>
      </w:r>
      <w:r>
        <w:t>https://mcp.opencaselaw.ch/entscheid/bger_6B_823_2023</w:t>
      </w:r>
    </w:p>
    <w:p>
      <w:r>
        <w:t>FR: TF 6B 823/2023 du 24 juillet 2023</w:t>
      </w:r>
    </w:p>
    <w:p>
      <w:r>
        <w:t>IT: TF 6B 823/2023 del 24 luglio 2023</w:t>
      </w:r>
    </w:p>
    <w:p>
      <w:pPr>
        <w:pStyle w:val="Heading2"/>
      </w:pPr>
      <w:r>
        <w:t>Regeste</w:t>
      </w:r>
    </w:p>
    <w:p>
      <w:r>
        <w:t>Grobe Verletzung der Verkehrsregeln; Widerhandlung gegen die Verkehrsregelverordnung; Nichteintreten | Straftaten</w:t>
      </w:r>
    </w:p>
    <w:p>
      <w:pPr>
        <w:pStyle w:val="Heading2"/>
      </w:pPr>
      <w:r>
        <w:t>Erwägungen</w:t>
      </w:r>
    </w:p>
    <w:p>
      <w:r>
        <w:rPr>
          <w:b/>
        </w:rPr>
        <w:t>E. 1</w:t>
      </w:r>
    </w:p>
    <w:p>
      <w:r>
        <w:t>Das Obergericht des Kantons Bern verurteilte den Beschwerdeführer wegen grober Verkehrsregelverletzung (brüskes Bremsen bis zum Stillstand) und Widerhandlung gegen die Verkehrsregelverordnung (Ein- und Ausschalten der Nebelschlusslichter) zu einer bedingten Geldstrafe von 10 Tagessätzen zu Fr. 30.--, einer Verbindungsbusse von Fr. 200.-- (Ersatzfreiheitsstrafe 2 Tage) und einer Übertretungsbusse von Fr. 40.-- (Ersatzfreiheitsstrafe 1 Tag). Es auferlegte dem Beschwerdeführer die erst- und zweitinstanzlichen Verfahrenskosten. Der Beschwerdeführer wendet sich an das Bundesgericht.</w:t>
      </w:r>
    </w:p>
    <w:p>
      <w:r>
        <w:rPr>
          <w:b/>
        </w:rPr>
        <w:t>E. 2</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3</w:t>
      </w:r>
    </w:p>
    <w:p>
      <w:r>
        <w:t>Der Beschwerdeführer beanstandet seine Verurteilung, verlangt eine Urteilsaufhebung, einen Freispruch sowie die Überbindung der Verfahrenskosten auf die Staatskasse. Seine Sachrügen gehen allerdings nicht über eine rein appellatorische und damit unzulässige Kritik am angefochtenen Urteil hinaus. Er beschränkt sich darauf, seinen bereits im kantonalen Verfahren vorgebrachten Standpunkt respektive seine Version des Geschehens zu wiederholen. Diese Version wurde von der Vorinstanz jedoch mit einlässlicher Begründung verworfen und seine Kritik widerlegt. Die Vorinstanz hat zudem im Einzelnen dargelegt, weshalb das Verhalten des Beschwerdeführers den Tatbestand von Art. 90 Abs. 2 SVG erfüllt, keine Rechtfertigungs- und Schuldausschliessungsgründe bestehen, insbesondere keine Notwehrsituation vorliegt und eine Verurteilung wegen einfacher Verkehrsregelverletzung nach Art. 90 Abs. 1 SVG ausser Betracht fällt. Dass und inwiefern ihre Erwägungen Recht im Sinne von Art. 95 BGG verletzen könnten, zeigt der Beschwerdeführer in seiner Beschwerde nicht auf. Seine Hinweise, das Ganze habe mit dem Innenspiegel nicht viel zu tun, das Einschalten der Warnblinkanlage sei ihm nicht in den Sinn gekommen und die "Situation" sei durch das hinter ihm mit Fernlicht fahrende Fahrzeug mitverursacht worden, vermögen eine Bundesrechtswidrigkeit nicht im Ansatz darzutun. Inwiefern der gestützt auf Art. 428 StPO ergangene vorinstanzliche Kostenspruch gegen geltendes Recht verstossen könnte, vermag der Beschwerdeführer ebenfalls nicht in einer den Formerfordernissen genügenden Weise zu sagen. Nach dem Gesagten genügt die Beschwerde den gesetzlichen Begründungsanforderungen an eine Beschwerde ( Art. 42 Abs. 2 und Art. 106 Abs. 2 BGG ) offenkundig nicht.</w:t>
      </w:r>
    </w:p>
    <w:p>
      <w:r>
        <w:rPr>
          <w:b/>
        </w:rPr>
        <w:t>E. 4</w:t>
      </w:r>
    </w:p>
    <w:p>
      <w:r>
        <w:t>Aufgrund des eindeutigen Begründungsmangels ist auf die Beschwerde im Verfahren nach Art. 108 BGG nicht einzutreten. Bei diesem Verfahrensausgang trägt der Beschwerdeführer die Gerichtskosten. Sein sinngemässes Gesuch um unentgeltliche Rechtspflege ist gestützt auf Art. 64 BGG wegen Aussichtslosigkeit der Beschwerde abzuweisen. Seiner finanziellen Lage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