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6B_823/2019 vom 25. September 2019</w:t>
      </w:r>
    </w:p>
    <w:p>
      <w:r>
        <w:t>Bundesgericht, 2019-09-25, FR</w:t>
      </w:r>
    </w:p>
    <w:p>
      <w:r>
        <w:rPr>
          <w:b/>
        </w:rPr>
        <w:t xml:space="preserve">Quelle: </w:t>
      </w:r>
      <w:r>
        <w:t>https://mcp.opencaselaw.ch/entscheid/bger_6B_823_2019</w:t>
      </w:r>
    </w:p>
    <w:p>
      <w:r>
        <w:t>FR: TF 6B_823/2019 du 25 septembre 2019</w:t>
      </w:r>
    </w:p>
    <w:p>
      <w:r>
        <w:t>IT: TF 6B_823/2019 del 25 settembre 2019</w:t>
      </w:r>
    </w:p>
    <w:p>
      <w:pPr>
        <w:pStyle w:val="Heading2"/>
      </w:pPr>
      <w:r>
        <w:t>Erwägungen</w:t>
      </w:r>
    </w:p>
    <w:p>
      <w:r>
        <w:rPr>
          <w:b/>
        </w:rPr>
        <w:t>E. 1</w:t>
      </w:r>
    </w:p>
    <w:p>
      <w:r>
        <w:t>Par jugement du 28 février 2019, le Tribunal de police de l'arrondissement de la Broye et du Nord vaudois a notamment constaté que X.________ s'est rendu coupable de violation grave des règles de la circulation routière, l'a condamné à une peine privative de liberté de 60 jours, a renoncé à révoquer le sursis accordé le 11 octobre 2016 par le Tribunal de police de l'arrondissement de la Broye et du Nord vaudois mais en a prolongé la durée pour une année et demie.</w:t>
      </w:r>
    </w:p>
    <w:p>
      <w:r>
        <w:t>Par décision du 15 mai 2019, la Cour d'appel pénale du Tribunal cantonal vaudois a déclaré irrecevable l'appel formé par X.________ à l'encontre du jugement précité.</w:t>
      </w:r>
    </w:p>
    <w:p>
      <w:r>
        <w:t>X.________ forme un recours en matière pénale au Tribunal fédéral contre la décision de la Cour d'appel pénale du 15 mai 2019.</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le Tribunal fédéral a imparti au recourant, par ordonnance du 11 juillet 2019, un délai échéant au 27 août 2019 pour s'acquitter d'une avance de frais de 800 francs. Ce montant n'ayant pas été payé dans le délai fixé, l'intéressé a été derechef invité, par ordonnance du 3 septembre 2019, à verser l'avance de frais précitée jusqu'au 17 septembre 2019. A nouveau, le recourant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