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6B_823/2018 vom 12. September 2018</w:t>
      </w:r>
    </w:p>
    <w:p>
      <w:r>
        <w:t>Bundesgericht, 2018-09-12, FR</w:t>
      </w:r>
    </w:p>
    <w:p>
      <w:r>
        <w:rPr>
          <w:b/>
        </w:rPr>
        <w:t xml:space="preserve">Quelle: </w:t>
      </w:r>
      <w:r>
        <w:t>https://mcp.opencaselaw.ch/entscheid/bger_6B_823_2018</w:t>
      </w:r>
    </w:p>
    <w:p>
      <w:r>
        <w:t>FR: TF 6B_823/2018 du 12 septembre 2018</w:t>
      </w:r>
    </w:p>
    <w:p>
      <w:r>
        <w:t>IT: TF 6B_823/2018 del 12 settembre 2018</w:t>
      </w:r>
    </w:p>
    <w:p>
      <w:pPr>
        <w:pStyle w:val="Heading2"/>
      </w:pPr>
      <w:r>
        <w:t>Erwägungen</w:t>
      </w:r>
    </w:p>
    <w:p>
      <w:r>
        <w:rPr>
          <w:b/>
        </w:rPr>
        <w:t>E. 1</w:t>
      </w:r>
    </w:p>
    <w:p>
      <w:r>
        <w:t>On comprend que le recourant conteste le refus de sa libération conditionnelle de l'internement, respectivement le refus de la levée de l'internement au profit d'une mesure thérapeutique institutionnelle.</w:t>
      </w:r>
    </w:p>
    <w:p>
      <w:r>
        <w:rPr>
          <w:b/>
        </w:rPr>
        <w:t>E. 1.1</w:t>
      </w:r>
    </w:p>
    <w:p>
      <w:r>
        <w:t>Selon l' art. 64a al. 1 CP ,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"in dubio pro reo" ne s'applique pas ( ATF 127 IV 1 consid. 2a p. 5; 118 IV 108 consid. 2a p. 114). La loi n'autorise la libération conditionnelle d'un interné que s'il est hautement vraisemblable que celui-ci se comportera correctement en liberté ( ATF 142 IV 56 consid. 2.4 p. 62; arrêt 6B_403/2017 du 10 octobre 2017 consid. 2.1).</w:t>
      </w:r>
    </w:p>
    <w:p>
      <w:r>
        <w:t>Selon l' art. 64b al. 1 CP , l'autorité compétente examine, d'office ou sur demande : au moins une fois par an et pour la première fois après une période de deux ans, si l'auteur peut être libéré conditionnellement de l'internement et, si tel est le cas, quand il peut l'être (let. a) ainsi que, au moins une fois tous les deux ans et pour la première fois avant le début de l'internement, si les conditions d'un traitement thérapeutique institutionnel sont réunies et qu'une demande en ce sens doit être faite auprès du juge compétent (let. b). L'autorité compétente prend la décision selon l'al. 1 précité en se fondant sur un rapport de la direction de l'établissement, une expertise indépendante au sens de l' art. 56 al. 4 CP , l'audition d'une commission au sens de l' art. 62d al. 2 CP et l'audition de l'auteur ( art. 64b al. 2 CP ).</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w:t>
      </w:r>
    </w:p>
    <w:p>
      <w:r>
        <w:t>Selon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En présence d'un trouble psychiatrique, l'internement constitue une mesure subsidiaire par rapport à une mesure institutionnelle au sens de l' art. 59 CP . En tant qu'ultima ratio, en raison de la gravité de l'atteinte à la liberté personnelle qu'il représente (cf. ATF 140 IV 1 consid. 3.2.4 p. 9; 134 IV 121 consid. 3.4.4 p. 131), l'internement n'entre pas en considération tant qu'une mesure institutionnelle apparaît utile ( ATF 137 IV 59 consid. 6.2 p. 69). 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141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6B_130/2018 du 27 juin 2018 consid. 3.1.1; 6B_1397/2017 du 26 avril 2018 consid. 1.1.2).</w:t>
      </w:r>
    </w:p>
    <w:p>
      <w:r>
        <w:rPr>
          <w:b/>
        </w:rPr>
        <w:t>E. 1.2</w:t>
      </w:r>
    </w:p>
    <w:p>
      <w:r>
        <w:t>En l'espèce, tous les intervenants - soit l'OEP, la CIC, la Direction de E.________ et le ministère public - ont émis un préavis négatif concernant une éventuelle libération conditionnelle du recourant. Un préavis négatif s'agissant d'un éventuel changement de mesure a par ailleurs été formulé par la CIC et le ministère public. Aucun intervenant n'a indiqué qu'un traitement institutionnel pourrait entraîner, dans les cinq ans de sa durée normale, une réduction nette du risque de récidive.</w:t>
      </w:r>
    </w:p>
    <w:p>
      <w:r>
        <w:t>Il ressort des rapports d'expertise des 3 août et 15 septembre 2017 que le recourant souffre d'un trouble mixte de la personnalité avec des traits paranoïaques et antisociaux, associé à une pédophilie, qu'il présente un risque élevé de récidive concernant des actes de même nature, ce risque étant important et imminent si celui-ci devait se trouver en contact avec des mineurs. Les experts ont relevé que tous les intervenants avaient décrit des modalités analogues de fonctionnement psychique chez l'intéressé, cela sa vie durant, les seuls changements notés depuis sa dernière évaluation en juillet 2013 consistant dans son avancée en âge et le développement de pathologies somatiques, ces éléments ne modifiant cependant en rien le risque de récidive. Ils ont ajouté que les infractions commises étaient en lien direct avec le fonctionnement du recourant, lequel ne s'était nullement modifié, aucun élément nouveau n'ayant pour le reste pu être mis en évidence s'agissant des bénéfices espérés - en matière de risque de récidive - d'une thérapie dans les cinq prochaines années.</w:t>
      </w:r>
    </w:p>
    <w:p>
      <w:r>
        <w:t>Compte tenu des conclusions de l'expertise et des préavis émis par les divers intervenants, il apparaît que le recourant présente un risque élevé de commettre des infractions graves contre l'intégrité sexuelle, une libération conditionnelle de l'internement étant, en conséquence, exclue selon la jurisprudence précitée (cf. consid. 1.1 supra). Par ailleurs, selon les experts psychiatres, aucun élément ne permet de penser qu'une mesure thérapeutique institutionnelle serait à même, dans un délai de cinq ans, de réduire significativement le risque de récidive. Un changement de mesure fondé sur l' art. 65 al. 1 CP ne peut ainsi davantage entrer en ligne de compte.</w:t>
      </w:r>
    </w:p>
    <w:p>
      <w:r>
        <w:rPr>
          <w:b/>
        </w:rPr>
        <w:t>E. 2.1</w:t>
      </w:r>
    </w:p>
    <w:p>
      <w:r>
        <w:t>Selon l' art. 56 al. 2 CP ,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6B_438/2018 du 27 juillet 2018 consid. 3.1; 6B_608/2018 du 28 juin 2018 consid. 1.1;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6B_438/2018 précité consid. 3.1; 6B_608/2018 précité consid. 1.1; 6B_277/2017 du 15 décembre 2017 consid. 3.1).</w:t>
      </w:r>
    </w:p>
    <w:p>
      <w:r>
        <w:rPr>
          <w:b/>
        </w:rPr>
        <w:t>E. 2.2</w:t>
      </w:r>
    </w:p>
    <w:p>
      <w:r>
        <w:t>Comme exposé précédemment (cf. consid. 1.2 supra), le recourant ne peut actuellement être traité efficacement, de sorte qu'une autre mesure - en particulier un traitement institutionnel - ne peut entrer en ligne de compte. Pour le reste, au vu du risque de récidive élevé - et imminent en cas de libération - présenté par l'intéressé et de l'importance des biens juridiques menacés - soit notamment l'intégrité sexuelle des enfants -, l'atteinte aux droits de la personnalité du recourant entraînée par son internement n'est pas disproportionnée, en dépit de la longue durée de la détention.</w:t>
      </w:r>
    </w:p>
    <w:p>
      <w:r>
        <w:rPr>
          <w:b/>
        </w:rPr>
        <w:t>E. 3</w:t>
      </w:r>
    </w:p>
    <w:p>
      <w:r>
        <w:t>Le recourant se plaint d'une violation de l' art. 5 par. 1 let. a CEDH . Selon lui, il n'existerait plus de lien de causalité suffisant entre sa détention et la condamnation prononcée en 1996.</w:t>
      </w:r>
    </w:p>
    <w:p>
      <w:r>
        <w:rPr>
          <w:b/>
        </w:rPr>
        <w:t>E. 3.1</w:t>
      </w:r>
    </w:p>
    <w:p>
      <w:r>
        <w:t>Aux termes de l' art. 5 par. 1 CEDH , toute personne a droit à la liberté et à la sûreté. Nul ne peut être privé de sa liberté, sauf notamment s'il est détenu régulièrement après condamnation par un tribunal compétent (let. a).</w:t>
      </w:r>
    </w:p>
    <w:p>
      <w:r>
        <w:t>Selon la jurisprudence de la Cour européenne des droits de l'Homme,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6B_410/2017 du 19 octobre 2017 consid. 2.1; 6B_403/2017 du 10 octobre 2017 consid. 4.4.1; 6B_1193/2013 du 11 février 2014 consid. 6.3.1 et les références citées).</w:t>
      </w:r>
    </w:p>
    <w:p>
      <w:r>
        <w:rPr>
          <w:b/>
        </w:rPr>
        <w:t>E. 3.2</w:t>
      </w:r>
    </w:p>
    <w:p>
      <w:r>
        <w:t>L'argumentation du recourant est irrecevable dans la mesure où elle repose sur des éléments qui ne ressortent pas de l'état de fait de la cour cantonale, par lequel le Tribunal fédéral est lié (cf. art. 105 al. 1 LTF ) et dont l'intéressé ne prétend ni ne démontre qu'il aurait été établi de manière arbitraire (cf. art. 97 al. 1 LTF ). Il en va ainsi lorsque le recourant rediscute les circonstances de sa condamnation en 1996 ou la valeur des expertises psychiatriques effectuées depuis lors et jusqu'en 2017.</w:t>
      </w:r>
    </w:p>
    <w:p>
      <w:r>
        <w:t>Le jugement du 11 janvier 1996 a condamné le recourant à une peine de réclusion de quatre ans, laquelle a été suspendue au profit d'un internement selon l'art. 43 ch. 1 al. 2 aCP. Le passage du régime ancien au nouveau régime a été examiné par le Tribunal correctionnel de l'Est vaudois qui, par jugement du 15 août 2007, a ordonné un internement selon l' art. 64 CP . Ce jugement a été confirmé le 16 octobre 2007 par la Cour de cassation pénale du Tribunal cantonal vaudois. Dans ces conditions, la détention du recourant repose bien sur une condamnation prononcée par un tribunal et s'avère conforme à l' art. 5 par. 1 let. a CEDH . Par ailleurs, l'objectif visé par l'internement du recourant en 1996 était la préservation de la sécurité publique. Cette mesure n'impliquait aucune durée maximale mais pouvait être continuée aussi longtemps que le but visé le requérait. En l'occurrence, le risque de voir le recourant commettre des infractions de même genre que celles pour lesquelles il a été condamné demeure élevé (cf. consid. 1.2 supra). Ainsi, le lien de causalité entre la détention du recourant et sa condamnation n'est aucunement rompu.</w:t>
      </w:r>
    </w:p>
    <w:p>
      <w:r>
        <w:t>Le recourant admet que le risque de récidive a été jugé élevé par les experts ayant rendu les rapports des 3 août et 15 septembre 2017. Il affirme que la question de sa dangerosité n'y aurait cependant pas été abordée. Le recourant indique que le risque de récidive et la dangerosité ne se recouperaient pas, en se référant à un arrêt du 11 février 2014 (6B_1193/2013 consid. 2.4) dans lequel le Tribunal fédéral ne s'est aucunement prononcé sur une telle question. L'intéressé ne précise pas, quant à lui, en quoi consisterait cette distinction ni en quoi elle serait pertinente s'agissant du maintien de son internement, pour lequel le risque de récidive s'avère déterminant (cf. consid. 1.1 supra). Il rediscute, de manière purement appellatoire et, partant, irrecevable, les divers avis émis par les intervenants, sans que l'on ne perçoive dans quelle mesure ceux-ci infirmeraient sa dangerosité - pour la population et en particulier les enfants - mise en évidence par toutes les expertises psychiatriques auxquelles celui-ci a été soumis depuis son internement. Au demeurant, contrairement à ce que semble croire le recourant, le regard qu'il porte sur les infractions commises ou ses victimes, non plus que sa volonté de poursuivre son suivi thérapeutique, n'est pertinent pour examiner la persistance du lien de causalité entre la condamnation initiale et la prolongation de la privation de liberté. Le grief doit être rejeté dans la mesure où il est recevable.</w:t>
      </w:r>
    </w:p>
    <w:p>
      <w:r>
        <w:rPr>
          <w:b/>
        </w:rPr>
        <w:t>E. 4</w:t>
      </w:r>
    </w:p>
    <w:p>
      <w:r>
        <w:t>Le recourant se plaint encore d'une violation de l' art. 3 CEDH , aux termes duquel nul ne peut être soumis à la torture ni à des peines ou traitements inhumains ou dégradants.</w:t>
      </w:r>
    </w:p>
    <w:p>
      <w:r>
        <w:t>L'intéressé ne se plaint nullement de ses conditions de détention, mais affirme que sa privation de liberté serait disproportionnée au regard de la peine à laquelle il a été condamné en 1996. Cette argumentation s'épuise dans une vaine discussion des conditions du maintien de l'internement, qui sont réunies en l'espèce (cf. consid. 1.2 supra). Pour le reste, le recourant prétend que, dans son "pronostic", la cour cantonale aurait dû tenir compte de la durée de sa privation de liberté. Or, il se réfère à un arrêt dans lequel le Tribunal fédéral a précisément relevé que l'internement - contrairement à une mesure thérapeutique institutionnelle - n'était pas limité dans le temps et qu'une libération conditionnelle ne pouvait intervenir que s'il était hautement vraisemblable que l'intéressé se comporterait correctement en liberté, le droit à la liberté personnelle d'un auteur présentant une dangerosité susceptible de justifier un internement ne pouvant l'emporter sur l'intérêt public à la sécurité des personnes (cf. ATF 137 IV 201 consid. 1.2 p. 203).</w:t>
      </w:r>
    </w:p>
    <w:p>
      <w:r>
        <w:t>Enfin, s'agissant de l'arrêt de la Cour européenne des droits de l'Homme auquel le recourant se réfère (arrêt CourEDH</w:t>
      </w:r>
    </w:p>
    <w:p>
      <w:r>
        <w:t>Vinter et autres c. Royaume-Uni du 9 juillet 2013 [requêtes nos 66069/09, 130/10 et 3896/10]), le Tribunal fédéral a déjà eu l'occasion d'indiquer que le contrôle judiciaire régulier de la mesure prévu à l' art. 64b CP excluait de considérer l'internement comme contraire en soi aux exigences découlant de l' art. 3 CEDH (cf. arrêts 6B_674/2015 du 16 février 2016 consid. 5.1; 6B_1167/2014 précité consid. 5).</w:t>
      </w:r>
    </w:p>
    <w:p>
      <w:r>
        <w:t>On ne voit donc pas en quoi l'internement du recourant pourrait porter atteinte à l' art. 3 CEDH . Le grief doit être rejeté.</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