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822/2008 vom 5. November 2008</w:t>
      </w:r>
    </w:p>
    <w:p>
      <w:r>
        <w:t>Bundesgericht, 2008-11-05, FR</w:t>
      </w:r>
    </w:p>
    <w:p>
      <w:r>
        <w:rPr>
          <w:b/>
        </w:rPr>
        <w:t xml:space="preserve">Quelle: </w:t>
      </w:r>
      <w:r>
        <w:t>https://mcp.opencaselaw.ch/entscheid/bger_6B_822_2008</w:t>
      </w:r>
    </w:p>
    <w:p>
      <w:r>
        <w:t>FR: TF 6B 822/2008 du 5 novembre 2008</w:t>
      </w:r>
    </w:p>
    <w:p>
      <w:r>
        <w:t>IT: TF 6B 822/2008 del 5 novembre 2008</w:t>
      </w:r>
    </w:p>
    <w:p>
      <w:pPr>
        <w:pStyle w:val="Heading2"/>
      </w:pPr>
      <w:r>
        <w:t>Regeste</w:t>
      </w:r>
    </w:p>
    <w:p>
      <w:r>
        <w:t>Délit manqué de meurtre par dol éventuel (art. 12 la. 2 et art. 111 CP) | Infractions</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rPr>
          <w:b/>
        </w:rPr>
        <w:t>E. 2.1</w:t>
      </w:r>
    </w:p>
    <w:p>
      <w:r>
        <w:t>Dans son jugement, la cour cantonale a refusé de retenir la circonstance atténuante du repentir sincère en ces termes: «le recourant use d'arguments appellatoires pour substituer son appréciation à celle de l'autorité de jugement ». « (...) le refus d'admettre que le geste financier accompli par le recourant à l'approche du procès pénal et les regrets exprimés constituent un repentir sincère n'apparaît pas comme outrepassant le large pouvoir d'appréciation de l'autorité de jugement, ni, partant, consacrer une violation de l' art. 48 CP ». Dans un premier grief, le recourant dénonce une application arbitraire des art. 340 let. a et 350 du code de procédure pénale genevois (ci-après: CPP/GE) au motif que la cour cantonale aurait limité son pouvoir d'examen à l'arbitraire. Il fait valoir en outre que son argumentation n'était pas appellatoire, car tous les éléments qu'il invoquait (attente après les faits, prise en charge psychiatrique) ressortaient expressément de l'arrêt rendu par la Cour d'assises.</w:t>
      </w:r>
    </w:p>
    <w:p>
      <w:r>
        <w:rPr>
          <w:b/>
        </w:rPr>
        <w:t>E. 2.2</w:t>
      </w:r>
    </w:p>
    <w:p>
      <w:r>
        <w:t>En procédure cantonale genevoise, les arrêts de la Cour d'assises genevoise peuvent être attaqués par la voie d'un pourvoi auprès de la Cour de cassation genevoise ( art. 339 al. 1 let . c CPP/GE). Voie de droit extraordinaire, le pourvoi est ouvert notamment pour violation de la loi pénale, question que la Cour de cassation genevoise examine librement; en revanche, s'agissant des faits, son pouvoir d'appréciation est limité à l'arbitraire ( ATF 128 I 177 consid. 2.2 p. 182). Pour sa part, le Tribunal fédéral revoit l'interprétation et l'application du droit cantonal sous l'angle de l'arbitraire ( ATF 131 I 217 consid. 2.1 p. 219;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134 I 140 consid. 5.4 p. 148; 131 I 217 consid. 2.1 p. 219; 129 I 8 consid. 2.1 p. 9 et les arrêts cités). En outre, l'annulation de la décision attaquée ne se justifie que si celle-ci est arbitraire dans son résultat ( ATF 129 I 173 consid. 3 p. 178), ce qu'il appartient au recourant de démontrer ( ATF 124 I 247 consid. 5 p. 250).</w:t>
      </w:r>
    </w:p>
    <w:p>
      <w:r>
        <w:rPr>
          <w:b/>
        </w:rPr>
        <w:t>E. 2.3</w:t>
      </w:r>
    </w:p>
    <w:p>
      <w:r>
        <w:t>L' art. 48 let . d CP prévoit que le juge atténue la peine si l'auteur a manifesté par des actes un repentir sincère, notamment s'il a réparé le dommage autant qu'on pouvait l'attendre de lui. Selon la jurisprudence, cette circonstance atténuante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et les références citées).</w:t>
      </w:r>
    </w:p>
    <w:p>
      <w:r>
        <w:rPr>
          <w:b/>
        </w:rPr>
        <w:t>E. 2.4</w:t>
      </w:r>
    </w:p>
    <w:p>
      <w:r>
        <w:t>En l'espèce, le recourant a versé une somme de 3'700 francs à la partie civile juste avant le procès pénal. Les premiers juges ont toutefois jugé que le versement de cette somme d'argent n'était pas la preuve concrète d'un repentir sincère, compte tenu du fait que le recourant avait tenté de faire porter à la partie civile la responsabilité des événements (arrêt attaqué p. 9). Savoir si le geste du recourant dénote un esprit de repentir ou repose sur des considérations tactiques est une question d'appréciation des faits. La cour cantonale, dont le pouvoir d'appréciation est sur ce point limité à l'arbitraire, pouvait dans cette mesure restreindre son examen. Elle n'a ainsi nullement appliqué de manière arbitraire le droit de procédure cantonale. De sa motivation, certes maladroite, on peut aisément comprendre qu'elle a considéré, ce qui n'est pas critiquable, que les éléments invoqués par le recourant ne permettaient pas une autre appréciation du geste du recourant dans le cadre restreint de son examen. Mal fondés, les griefs soulevés doivent être rejetés.</w:t>
      </w:r>
    </w:p>
    <w:p>
      <w:r>
        <w:rPr>
          <w:b/>
        </w:rPr>
        <w:t>E. 3</w:t>
      </w:r>
    </w:p>
    <w:p>
      <w:r>
        <w:t>Se fondant sur son droit d'être entendu, le recourant reproche ensuite à la cour cantonale de ne pas s'être prononcée sur plusieurs griefs relatifs à la réalisation du dol éventuel.</w:t>
      </w:r>
    </w:p>
    <w:p>
      <w:r>
        <w:rPr>
          <w:b/>
        </w:rPr>
        <w:t>E. 3.1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134 I 140 consid. 5.3 p. 148; 129 I 232 consid. 3.2 p. 236; 126 I 97 consid. 2b p. 102). Cette garantie tend à assurer une décision compréhensible pour son destinataire (CORBOZ, La motivation de la peine, RJB 131 (1995), p. 1 ss, spéc. p. 5).</w:t>
      </w:r>
    </w:p>
    <w:p>
      <w:r>
        <w:rPr>
          <w:b/>
        </w:rPr>
        <w:t>E. 3.2</w:t>
      </w:r>
    </w:p>
    <w:p>
      <w:r>
        <w:t>En l'espèce, la cour cantonale a rappelé d'abord les principes applicables en matière de dol éventuel. Elle a ensuite exposé les éléments retenus par les premiers juges en tant que révélateurs du contenu de la conscience et de la volonté, à savoir le climat conflictuel, la dimension du poignard que l'accusé s'était procuré dans ce but, la violence du coup porté à la victime, ainsi que la manière de donner le coup dans la poitrine de haut en bas; elle en a conclu que ceux-ci permettaient de considérer que le recourant avait envisagé et accepté la mort de sa victime. Cette motivation est amplement suffisante et la cour cantonale n'avait pas nécessairement à se prononcer sur tous les arguments du recourant. Le grief tiré du défaut de motivation doit donc être rejeté.</w:t>
      </w:r>
    </w:p>
    <w:p>
      <w:r>
        <w:rPr>
          <w:b/>
        </w:rPr>
        <w:t>E. 4</w:t>
      </w:r>
    </w:p>
    <w:p>
      <w:r>
        <w:t>Le recourant soutient enfin qu'il ne voulait que blesser sa victime. Il conteste avoir envisagé et accepté que l'intimé ait pu être mortellement atteint.</w:t>
      </w:r>
    </w:p>
    <w:p>
      <w:r>
        <w:rPr>
          <w:b/>
        </w:rPr>
        <w:t>E. 4.1</w:t>
      </w:r>
    </w:p>
    <w:p>
      <w:r>
        <w:t>L' art. 111 CP punit d'une peine privative de liberté de cinq ans au moins celui qui aura intentionnellement tué une personne. Selon l' art. 12 al. 2 CP , agit intentionnellement quiconque commet un crime ou un délit avec conscience et volonté. L'auteur agit déjà intentionnellement lorsqu'il tient pour possible la réalisation de l'infraction et l'accepte au cas où celle-ci se produirait.</w:t>
      </w:r>
    </w:p>
    <w:p>
      <w:r>
        <w:rPr>
          <w:b/>
        </w:rPr>
        <w:t>E. 4.2</w:t>
      </w:r>
    </w:p>
    <w:p>
      <w:r>
        <w:t>Déterminer ce qu'une personne a su, envisagé, voulu ou accepté relève des constatations de faits, qui lient la Cour de droit pénal, à moins que ceux-ci n'aient été établis de façon manifestement inexacte (cf. supra consid. 1). Est en revanche une question de droit, celle de savoir si l'autorité cantonale s'est fondée sur une juste conception du dol éventuel et si elle l'a correctement appliquée au vu des éléments retenus ( ATF 125 IV 242 consid. 3c p. 252 e arrêts cités; MARTIN SCHUBARTH, Nichtigkeitsbeschwerde - Staatsrechtliche Beschwerde - Einheitsbeschwerde, PJA 1992 p. 849 ss, spéc. 851 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4.3</w:t>
      </w:r>
    </w:p>
    <w:p>
      <w:r>
        <w:t>En l'espèce, le recourant a frappé la victime avec un couteau d'une longueur de 15,5 cm et d'une largeur de 2,5 cm dans la poitrine, à savoir dans une région où se trouvent le coeur et les poumons. En outre, son coup de couteau était d'une rare violence puisqu'il a transpercé la peau et le cartilage qui se trouve entre le sternum et les côtes, a sectionné l'artère mammaire puis la plèvre, le diaphragme et le foie. Avec un tel coup, porté dans le thorax, au moyen d'un couteau de cette dimension, la mort de l'intimé ne pouvait apparaître que comme très vraisemblable. En définitive, si la victime a pu être sauvée, ce n'est que grâce à une intervention médicale rapide et efficace, à savoir des circonstances indépendantes de la volonté du recourant. Dans ces conditions, la cour cantonale n'a pas violé le droit fédéral en considérant que le recourant ne pouvait qu'envisager les suites mortelles de son coup de couteau et qu'il s'en est accommodé. Mal fondé, le grief de violation de l' art. 12 al. 2 CP doit être rejeté, ce qui entraîne le rejet du recours.</w:t>
      </w:r>
    </w:p>
    <w:p>
      <w:r>
        <w:rPr>
          <w:b/>
        </w:rPr>
        <w:t>E. 5</w:t>
      </w:r>
    </w:p>
    <w:p>
      <w:r>
        <w:t>Comme les conclusions du recourant étaient d'emblée vouées à l'échec, celui-ci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