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6B_821/2020 vom 8. Juli 2020</w:t>
      </w:r>
    </w:p>
    <w:p>
      <w:r>
        <w:t>Bundesgericht, 2020-07-08, FR</w:t>
      </w:r>
    </w:p>
    <w:p>
      <w:r>
        <w:rPr>
          <w:b/>
        </w:rPr>
        <w:t xml:space="preserve">Quelle: </w:t>
      </w:r>
      <w:r>
        <w:t>https://mcp.opencaselaw.ch/entscheid/bger_6B_821_2020</w:t>
      </w:r>
    </w:p>
    <w:p>
      <w:r>
        <w:t>FR: TF 6B_821/2020 du 8 juillet 2020</w:t>
      </w:r>
    </w:p>
    <w:p>
      <w:r>
        <w:t>IT: TF 6B_821/2020 del 8 luglio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contre une décision doit être déposé devant le Tribunal fédéral dans les 30 jours qui suivent sa notification ( art. 100 al. 1 LTF ). Les délais dont le début dépend d'une communication ou de la survenance d'un événement courent dès le lendemain de celles-ci ( art. 44 al. 1 LTF ). Le délai est observé si le mémoire est remis à La Poste Suisse le dernier jour du délai ( art. 48 al. 1 LTF ).</w:t>
      </w:r>
    </w:p>
    <w:p>
      <w:r>
        <w:t>En l'espèce, la décision cantonale a été notifiée le 29 mai 2020. Le délai a couru jusqu'au 29 juin 2020. Daté du 29 juin 2020 mais envoyé par pli postal du 7 juillet 2020, le recours est tardif.</w:t>
      </w:r>
    </w:p>
    <w:p>
      <w:r>
        <w:t>L'irrecevabilité est manifeste, ce qu'il convient de constater en application de l' art. 108 al. 1 let. a LTF .</w:t>
      </w:r>
    </w:p>
    <w:p>
      <w:r>
        <w:rPr>
          <w:b/>
        </w:rPr>
        <w:t>E. 2</w:t>
      </w:r>
    </w:p>
    <w:p>
      <w:r>
        <w:t>La recourante succombe. Elle supporte les frais judiciaires, fixés en tenant compte de sa situation (art. 65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