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820/2016 vom 5. Januar 2017</w:t>
      </w:r>
    </w:p>
    <w:p>
      <w:r>
        <w:t>Bundesgericht, 2017-01-05, DE</w:t>
      </w:r>
    </w:p>
    <w:p>
      <w:r>
        <w:rPr>
          <w:b/>
        </w:rPr>
        <w:t xml:space="preserve">Quelle: </w:t>
      </w:r>
      <w:r>
        <w:t>https://mcp.opencaselaw.ch/entscheid/bger_6B_820_2016</w:t>
      </w:r>
    </w:p>
    <w:p>
      <w:r>
        <w:t>FR: TF 6B 820/2016 du 5 janvier 2017</w:t>
      </w:r>
    </w:p>
    <w:p>
      <w:r>
        <w:t>IT: TF 6B 820/2016 del 5 gennaio 2017</w:t>
      </w:r>
    </w:p>
    <w:p>
      <w:pPr>
        <w:pStyle w:val="Heading2"/>
      </w:pPr>
      <w:r>
        <w:t>Regeste</w:t>
      </w:r>
    </w:p>
    <w:p>
      <w:r>
        <w:t>Nichtanhandnahme (Veruntreuung, Ehrverletzungsdelikte etc.), Nichteintreten | Strafprozess</w:t>
      </w:r>
    </w:p>
    <w:p>
      <w:pPr>
        <w:pStyle w:val="Heading2"/>
      </w:pPr>
      <w:r>
        <w:t>Erwägungen</w:t>
      </w:r>
    </w:p>
    <w:p>
      <w:r>
        <w:rPr>
          <w:b/>
        </w:rPr>
        <w:t>E. 1</w:t>
      </w:r>
    </w:p>
    <w:p>
      <w:r>
        <w:t>Die Partei, die das Bundesgericht anruft, hat einen Kostenvorschuss zu bezahlen ( Art. 62 Abs. 1 BGG ). Dem Beschwerdeführer wurden mit Verfügungen vom 20. Juli und 31. August 2016 eine Frist bis zum 29. August 2016 und die gesetzlich vorgeschriebene Nachfrist bis zum 31. Oktober 2016 angesetzt, um dem Bundesgericht einen Kostenvorschuss von Fr. 800.-- einzuzahlen, ansonsten auf das Rechtsmittel nicht eingetreten werde. Obwohl beide Verfügungen gemäss Rückschein zugestellt werden konnten, ging der Kostenvorschuss auch innert der Nachfrist nicht ein. Stattdessen machte der Beschwerdeführer mit Schreiben vom 26. August und 18. September 2016 geltend, die angesetzten Fristen seien zu kurz und nicht realistisch. Er ersuche darum, den Betrag zu streichen, herabzusetzen oder ihm eine längere Zahlungsfrist von mindestens 60 Tagen zu gewähren. Eine weitere Nachfristansetzung kommt indessen nicht in Betracht. Auf die Beschwerde ist gestützt auf Art. 62 Abs. 3 BGG nicht einzutreten und dem Beschwerdeführer sind die Gerichtskosten in Anwendung von Art. 66 Abs. 1 Satz 1 BGG aufzuerlegen.</w:t>
      </w:r>
    </w:p>
    <w:p>
      <w:r>
        <w:rPr>
          <w:b/>
        </w:rPr>
        <w:t>E. 2</w:t>
      </w:r>
    </w:p>
    <w:p>
      <w:r>
        <w:t>Am Nichteintreten würde sich nichts ändern, wenn die Gesuche um Kostenerlass als - sinngemäss - gestellte Gesuche um unentgeltliche Rechtspflege entgegengenommen würden. 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Ein Rechtsmittel hat gemäss Art. 42 Abs. 1 und 2 BGG unter anderem die Begehren und deren Begründung zu enthalten,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BGE 134 II 244 E. 2.1 f.; je mit Hinweisen). Diesen Anforderungen genügt die vorliegende Beschwerde nicht. Die nicht sachbezogenen Ausführungen des Beschwerdeführers sind unzulässig. Mit der reinen Behauptung, die am angefochtenen Beschluss mitwirkenden Richter praktizierten wiederholt Täterschutz und begünstigten die Gegenpartei, vermag er eine Befangenheit nicht darzutun. Mit der Begründung des angefochtenen Entscheids, welche zum Nichteintreten führte, setzt sich der Beschwerdeführer nicht auseinander. Auf die Beschwerde wäre folglich mangels einer genügenden Begründung im Verfahren nach Art. 108 BGG nicht einzutreten, die Prozessbegehren wären als aussichtslos anzusehen und die sinngemässen Gesuche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