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6B_81/2018 vom 9. März 2018</w:t>
      </w:r>
    </w:p>
    <w:p>
      <w:r>
        <w:t>Bundesgericht, 2018-03-09, DE</w:t>
      </w:r>
    </w:p>
    <w:p>
      <w:r>
        <w:rPr>
          <w:b/>
        </w:rPr>
        <w:t xml:space="preserve">Quelle: </w:t>
      </w:r>
      <w:r>
        <w:t>https://mcp.opencaselaw.ch/entscheid/bger_6B_81_2018</w:t>
      </w:r>
    </w:p>
    <w:p>
      <w:r>
        <w:t>FR: TF 6B_81/2018 du 9 mars 2018</w:t>
      </w:r>
    </w:p>
    <w:p>
      <w:r>
        <w:t>IT: TF 6B_81/2018 del 9 marzo 2018</w:t>
      </w:r>
    </w:p>
    <w:p>
      <w:pPr>
        <w:pStyle w:val="Heading2"/>
      </w:pPr>
      <w:r>
        <w:t>Erwägungen</w:t>
      </w:r>
    </w:p>
    <w:p>
      <w:r>
        <w:rPr>
          <w:b/>
        </w:rPr>
        <w:t>E. 1</w:t>
      </w:r>
    </w:p>
    <w:p>
      <w:r>
        <w:t>Das Appellationsgericht des Kantons Basel-Stadt hat am 11. Dezember 2017 entschieden, dass der Strafbefehl vom 7. März 2017 nicht rechtsgültig zugestellt wurde. Es hat daher in Gutheissung der Beschwerde die Nichteintretensverfügung des Einzelgerichts in Strafsachen vom 3. Mai 2017 aufgehoben und die Staatsanwaltschaft angewiesen, den Strafbefehl vom 7. März 2017 - nach einer allfälligen Anpassung im Sinne der Erwägungen - an die vom Beschwerdeführer angegebene Zustelladresse erneut zuzustellen.</w:t>
      </w:r>
    </w:p>
    <w:p>
      <w:r>
        <w:rPr>
          <w:b/>
        </w:rPr>
        <w:t>E. 2</w:t>
      </w:r>
    </w:p>
    <w:p>
      <w:r>
        <w:t>Der angefochtene Entscheid schliesst das Verfahren nicht ab. Es handelt sich um einen Zwischenentscheid ( BGE 137 V 314 E. 1; 135 V 141 E. 1.1; je mit Hinweis).</w:t>
      </w:r>
    </w:p>
    <w:p>
      <w:r>
        <w:rPr>
          <w:b/>
        </w:rPr>
        <w:t>E. 3</w:t>
      </w:r>
    </w:p>
    <w:p>
      <w:r>
        <w:t>Gegen selbstständig eröffnete Vor- und Zwischenentscheide, die weder die Zuständigkeit noch Ausstandsbegehren betreffen ( Art. 92 BGG ), ist die Beschwerde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Beschwerdeführer muss - sofern das nicht offensichtlich ist - im Einzelnen darlegen, weshalb diese Eintretensvoraussetzungen erfüllt sein sollen. Andernfalls genügt er seiner Begründungspflicht nach Art. 42 Abs. 1 und 2 BGG nicht und es kann auf die Beschwerde nicht eingetreten werden ( BGE 137 III 324 E. 1.1; 136 IV 92 E. 4; je mit Hinweisen).</w:t>
      </w:r>
    </w:p>
    <w:p>
      <w:r>
        <w:rPr>
          <w:b/>
        </w:rPr>
        <w:t>E. 4</w:t>
      </w:r>
    </w:p>
    <w:p>
      <w:r>
        <w:t>Der Beschwerdeführer äussert sich nicht zu den Eintretensvoraussetzungen von Art. 93 Abs. 1 BGG . Weder behauptet er, der angefochtene Beschluss bewirke einen nicht wieder gutzumachenden Nachteil ( Art. 93 Abs. 1 lit. a BGG ), noch legt er dar, durch einen Entscheid des Bundesgerichts könne ein bedeutender Aufwand an Zeit oder Kosten für ein weitläufiges Beweisverfahren erspart werden ( Art. 93 Abs. 1 lit. b BGG ). Beides ist vorliegend auch nicht ersichtlich. Auf die Beschwerde ist im Verfahren nach Art. 108 BGG nicht einzutreten.</w:t>
      </w:r>
    </w:p>
    <w:p>
      <w:r>
        <w:rPr>
          <w:b/>
        </w:rPr>
        <w:t>E. 5</w:t>
      </w:r>
    </w:p>
    <w:p>
      <w:r>
        <w:t>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