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6B_819/2020 vom 9. Juli 2020</w:t>
      </w:r>
    </w:p>
    <w:p>
      <w:r>
        <w:t>Bundesgericht, 2020-07-09, DE</w:t>
      </w:r>
    </w:p>
    <w:p>
      <w:r>
        <w:rPr>
          <w:b/>
        </w:rPr>
        <w:t xml:space="preserve">Quelle: </w:t>
      </w:r>
      <w:r>
        <w:t>https://mcp.opencaselaw.ch/entscheid/bger_6B_819_2020</w:t>
      </w:r>
    </w:p>
    <w:p>
      <w:r>
        <w:t>FR: TF 6B_819/2020 du 9 juillet 2020</w:t>
      </w:r>
    </w:p>
    <w:p>
      <w:r>
        <w:t>IT: TF 6B_819/2020 del 9 luglio 2020</w:t>
      </w:r>
    </w:p>
    <w:p>
      <w:pPr>
        <w:pStyle w:val="Heading2"/>
      </w:pPr>
      <w:r>
        <w:t>Erwägungen</w:t>
      </w:r>
    </w:p>
    <w:p>
      <w:r>
        <w:rPr>
          <w:b/>
        </w:rPr>
        <w:t>E. 1</w:t>
      </w:r>
    </w:p>
    <w:p>
      <w:r>
        <w:t>Nach Strafanzeigen vom 21. April und 30. Juni 2017 gegen die fallführende Staatsanwältin des Bundes, einen Bundesanwalt sowie drei Bundesstrafrichter nahm der eingesetzte a.o. Staatsanwalt des Bundes die vom Beschwerdeführer angestrebten Strafuntersuchungen mit Verfügungen vom 2. März 2020 nicht an die Hand. Die dagegen erhobenen Beschwerden wies die Beschwerdekammer des Bundesstrafgerichts mit zwei Beschlüssen vom 12. März 2020 ab, soweit sie darauf eintrat.</w:t>
      </w:r>
    </w:p>
    <w:p>
      <w:r>
        <w:t>Der Beschwerdeführer wendet sich mit zwei Beschwerden ans Bundesgericht.</w:t>
      </w:r>
    </w:p>
    <w:p>
      <w:r>
        <w:rPr>
          <w:b/>
        </w:rPr>
        <w:t>E. 2</w:t>
      </w:r>
    </w:p>
    <w:p>
      <w:r>
        <w:t>Die zusammenhängenden Verfahren 6B_819/2020 und 6B_820/2020 sind zu vereinigen.</w:t>
      </w:r>
    </w:p>
    <w:p>
      <w:r>
        <w:rPr>
          <w:b/>
        </w:rPr>
        <w:t>E. 3</w:t>
      </w:r>
    </w:p>
    <w:p>
      <w:r>
        <w:t>Mit hier nicht in Betracht fallenden Ausnahmen sind Beschwerden ans Bundesgericht gegen Entscheide der Beschwerdekammer des Bundesstrafgerichts unzulässig ( Art. 79 BGG ). Die Beschwerdekammer des Bundesstrafgerichts wies den Beschwerdeführer in den Rechtsmittelbelehrungen ihrer Beschlüsse vom 12. März 2020 auf diese Rechtslage hin. Subsidiäre Verfassungsbeschwerden fallen ebenfalls nicht in Betracht, da diese gemäss Art. 113 BGG einzig gegen Entscheide letzter kantonaler Instanzen gegeben sind. Auf die Beschwerden ist folglich im Verfahren nach Art. 108 BGG nicht einzutreten.</w:t>
      </w:r>
    </w:p>
    <w:p>
      <w:r>
        <w:rPr>
          <w:b/>
        </w:rPr>
        <w:t>E. 4</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