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818/2015 vom 8. Februar 2016</w:t>
      </w:r>
    </w:p>
    <w:p>
      <w:r>
        <w:t>Bundesgericht, 2016-02-08, DE</w:t>
      </w:r>
    </w:p>
    <w:p>
      <w:r>
        <w:rPr>
          <w:b/>
        </w:rPr>
        <w:t xml:space="preserve">Quelle: </w:t>
      </w:r>
      <w:r>
        <w:t>https://mcp.opencaselaw.ch/entscheid/bger_6B_818_2015</w:t>
      </w:r>
    </w:p>
    <w:p>
      <w:r>
        <w:t>FR: TF 6B 818/2015 du 8 février 2016</w:t>
      </w:r>
    </w:p>
    <w:p>
      <w:r>
        <w:t>IT: TF 6B 818/2015 del 8 febbraio 2016</w:t>
      </w:r>
    </w:p>
    <w:p>
      <w:pPr>
        <w:pStyle w:val="Heading2"/>
      </w:pPr>
      <w:r>
        <w:t>Regeste</w:t>
      </w:r>
    </w:p>
    <w:p>
      <w:r>
        <w:t>Versuchter Mord, Mittäterschaft; Willkür | Straftaten</w:t>
      </w:r>
    </w:p>
    <w:p>
      <w:pPr>
        <w:pStyle w:val="Heading2"/>
      </w:pPr>
      <w:r>
        <w:t>Erwägungen</w:t>
      </w:r>
    </w:p>
    <w:p>
      <w:r>
        <w:rPr>
          <w:b/>
        </w:rPr>
        <w:t>E. 1</w:t>
      </w:r>
    </w:p>
    <w:p>
      <w:r>
        <w:t>Gemäss Art. 42 Abs. 1 BGG muss die Rechtsschrift u.a. die Begehren und deren Begründung mit Angabe der Beweismittel enthalten. Das Rechtsbegehren, wonach das Urteil der Vorinstanz aufzuheben sei, genügt für sich allein den gesetzlichen Anforderungen in der Regel nicht. Nach der Rechtsprechung reicht ein kassatorisches Begehren aus, soweit sich aus der Begründung ergibt, was mit der Beschwerde angestrebt wird ( BGE 134 III 379 E. 1.3 S. 383; Urteil 6B_738/2014 vom 25. Februar 2015 E. 1 mit Hinweisen). Diese Anforderungen sind im vorliegenden Fall erfüllt. Aus den Ausführungen des Beschwerdeführers ergibt sich, dass er sich gegen die Verurteilung wegen versuchten Mordes aufgrund mittäterschaftlichen Handelns wendet. Auf die Beschwerde ist einzutreten.</w:t>
      </w:r>
    </w:p>
    <w:p>
      <w:r>
        <w:rPr>
          <w:b/>
        </w:rPr>
        <w:t>E. 2.1</w:t>
      </w:r>
    </w:p>
    <w:p>
      <w:r>
        <w:t>Der Beschwerdeführer rügt seine Verurteilung wegen versuchten Mordes und beanstandet die diesbezügliche vorinstanzliche Sachverhaltsfeststellung.</w:t>
      </w:r>
    </w:p>
    <w:p>
      <w:r>
        <w:rPr>
          <w:b/>
        </w:rPr>
        <w:t>E. 2.2</w:t>
      </w:r>
    </w:p>
    <w:p>
      <w:r>
        <w:t>Unter Verweis auf das erstinstanzliche Urteil würdigt die Vorinstanz ausführlich und sorgfältig die Aussagen des Beschwerdeführers, des Mitbeschuldigten X.________ und der Beschwerdegegnerin 2. Weiter berücksichtigt sie das rechtsmedizinische Gutachten zu den Verletzungen der Beschwerdegegnerin 2. Die Vorinstanz legt dar, es sei dem Beschwerdeführer und X.________ auch mit Blick auf die Vorgehensweise beim Einbruch zu glauben, dass die Tötung der Beschwerdegegnerin 2 nicht ihr primäres Ziel gewesen sei respektive sie gar nicht mit deren Anwesenheit gerechnet hätten. Sie hätten sich indes sofort auf die neue Situation eingestellt und diese zu ihren Gunsten ausgenützt, indem sie die Beschwerdegegnerin 2 gemeinsam attackierten und misshandelten. Zweck der Gewaltanwendung sei nicht primär gewesen, die Beschwerdegegnerin 2 vom Schreien abzuhalten, sondern sie dadurch zur Herausgabe der Wertsachen zu zwingen.</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264 E. 2.3 S. 266; 139 III 334 E. 3.2.5 S. 339 ; 138 I 49 E. 7.1 S. 51; je mit Hinweisen). Eine entsprechende Rüge muss klar vorgebracht und substanziiert begründet werden ( Art. 106 Abs. 2 BGG ; BGE 138 I 225 E. 3.2 S. 228 mit Hinweis). Auf rein appellatorische Kritik am angefochtenen Urteil tritt das Bundesgericht nicht ein ( BGE 139 II 404 E. 10.1 S. 445; 137 IV 1 E. 4.2.3 S. 5; je mit Hinweisen).</w:t>
      </w:r>
    </w:p>
    <w:p>
      <w:r>
        <w:rPr>
          <w:b/>
        </w:rPr>
        <w:t>E. 2.4</w:t>
      </w:r>
    </w:p>
    <w:p>
      <w:r>
        <w:t>Der Beschwerdeführer legt nicht dar, inwiefern Beweiswürdigung und Sachverhaltsfeststellung der Vorinstanz schlechterdings unhaltbar sein sollen. Soweit seine Ausführungen überhaupt den qualifizierten Begründungsanforderungen genügen (vgl. Art. 42 Abs. 2 i.V.m. Art. 106 Abs. 2 BGG ), vermag er damit keine Willkür aufzuzeigen. Es ist nicht zu beanstanden, wenn die Vorinstanz annimmt, der Beschwerdeführer und X.________ hätten die Beschwerdegegnerin 2 gemeinsam misshandelt, um sie zur Herausgabe der Wertsachen zu zwingen. Die Vorinstanz hält klar fest, die Gewaltanwendung sei dabei grundsätzlich von X.________ ausgegangen, wobei der Beschwerdeführer diesen durch Fesselung der Beschwerdegegnerin 2 bzw. den Versuch dazu unterstützt habe. Ihre Erwägung, wonach die beiden Täter das Opfer immer stärker misshandelten und dessen Gesicht immer länger in die Matratze respektive das Kissen drückten, stützt die Vorinstanz auf die tatnächsten Aussagen der Beteiligten. Sie legt dar, weshalb sie die ersten Aussagen des Opfers glaubhafter erachtet als jene an der Hauptverhandlung. Gleiches gilt für die Angaben von X.________, dessen spätere, das Ausmass der Gewaltanwendung relativierenden Aussagen sie willkürfrei als nicht glaubhaft würdigt. Die Vorinstanz weist zutreffend darauf hin, dass auch der Beschwerdeführer auf entsprechenden Vorhalt hin einräumte, der Druck auf die Beschwerdegegnerin 2 sei stetig erhöht worden, um an die Wertsachen zu gelangen. Nicht willkürlich ist die vorinstanzliche Feststellung, wonach der Beschwerdeführer durch die Fesselung der Beschwerdegegnerin 2 massgeblich dazu beigetragen habe, sie zum Widerstand unfähig zu machen. Die Vorinstanz erwägt, zwar habe die Fesselung die Gewalttaten von X.________ nicht erst ermöglicht, aber doch erleichtert. Wenn sie insbesondere aufgrund der ersten Aussagen des Opfers, die sie als präziser einstuft, zum Schluss kommt, der Beschwerdeführer habe in einem koordinierten Vorgehen mit X.________ an den Fesseln des Opfers gezerrt, während Letzterer dem Opfer wiederholt das Gesicht in die Matratze respektive das Kissen drückte, ist dies jedenfalls nicht unhaltbar. Dasselbe gilt für die Annahme, der Beschwerdeführer habe genau mitbekommen, was X.________ der Beschwerdegegnerin 2 angetan hat und um deren Lebensgefahr gewusst. Dass es in dem Zimmer dunkel war, lässt die Beweiswürdigung der Vorinstanz nicht offensichtlich unrichtig erscheinen. Sie stützt sich insbesondere auf die Aussagen des Beschwerdeführers selbst, der unter anderem angab, in einem Moment selbst gedacht zu haben, die Beschwerdegegnerin 2 verliere das Bewusstsein sowie dass X.________ sie einfach zu lange gehalten habe. Inwiefern die Vorinstanz die vom Beschwerdeführer auf Vorhalt hin erfolgten Bestätigungen des Sachverhalts willkürlich gewürdigt haben soll, zeigt er nicht auf und ist auch nicht ersichtlich.</w:t>
      </w:r>
    </w:p>
    <w:p>
      <w:r>
        <w:rPr>
          <w:b/>
        </w:rPr>
        <w:t>E. 3.1</w:t>
      </w:r>
    </w:p>
    <w:p>
      <w:r>
        <w:t>Der Beschwerdeführer stellt in Abrede, eventualvorsätzlich gehandelt und den Tod der Beschwerdegegnerin 2 in Kauf genommen zu haben.</w:t>
      </w:r>
    </w:p>
    <w:p>
      <w:r>
        <w:rPr>
          <w:b/>
        </w:rPr>
        <w:t>E. 3.2.1</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rPr>
          <w:b/>
        </w:rPr>
        <w:t>E. 3.2.2</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3.2.3</w:t>
      </w:r>
    </w:p>
    <w:p>
      <w:r>
        <w:t>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Rechtsgutsverletzung wiegt, desto näher liegt die Schlussfolgerung, der Täter habe die Tatbestandsverwirklichung in Kauf genommen ( BGE 135 IV 12 E. 2.3.2 S. 17;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 BGE 133 IV 9 E. 4.1 S. 17; zur Verneinung des Eventualvorsatzes vgl. Urteil 6B_775/2011 vom 4. Juni 2012 E. 2.4). Solche Umstände liegen namentlich vor, wenn der Täter das ihm bekannte Risiko in keiner Weise kalkulieren und dosieren kann und der Geschädigte keinerlei Abwehrchancen hat ( BGE 133 IV 1 E. 4.5 S. 7; 131 IV 1 E. 2.2 S. 5; Urteil 6B_754/2012 vom 18. Juli 2013 E. 3.2.4).</w:t>
      </w:r>
    </w:p>
    <w:p>
      <w:r>
        <w:rPr>
          <w:b/>
        </w:rPr>
        <w:t>E. 3.3</w:t>
      </w:r>
    </w:p>
    <w:p>
      <w:r>
        <w:t>Der vorinstanzliche Schluss, der Beschwerdeführer habe eventualvorsätzlich gehandelt, verletzt kein Bundesrecht. 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 6B_617/2013 vom 4. April 2014 E. 2.4 mit Hinweisen). Das Bundesgericht bestätigte den Schuldspruch der versuchten eventualvorsätzlichen Tötung bei einem Täter, der seine Tochter derart lange und massiv mit einer Hand würgte, bis das Opfer nach Luft schnappte und befürchtete, in Ohnmacht zu fallen (Urteil 6S.180/2003 vom 24. Juli 2003), sowie bei einem Täter, der seiner Tochter eine Seilschlinge um den Hals legte und sie in die Höhe zog, bis sie bewusstlos wurde (Urteil 6B_655/2012 vom 15. Februar 2013). Die Vorinstanz erwägt, die Beschwerdegegnerin 2 sei durch die Gewaltanwendung in unmittelbare Lebensgefahr gebracht worden und verweist hierzu auf das erstinstanzliche Urteil und das rechtsmedizinische Gutachten. Letzteres hält fest, die festgestellten Verletzungsspuren am Hals in Verbindung mit den diagnostizierten Stauungsblutungen der Lidbindehäute, der Gesichtshaut und der Hinterohrregion belegten eine komprimierende Gewalteinwirkung gegen den Hals, wobei von einer zeitweisen Durchblutungsstörung des Gehirns ausgegangen werden könne. Daraus lasse sich eine unmittelbare Lebensgefahr ableiten. Die Vorinstanz führt aus, X.________ habe das an Armen und Beinen gefesselte Opfer mehrfach und immer länger mit dem Gesicht ins Kissen respektive die Matratze gedrückt und es auch am Hals gehalten. Noch dazu habe er sich auf dessen Rücken gesetzt und es mit Fäusten und einem Werkzeug massiv traktiert. Dies sei in einem dunklen Zimmer gegenüber einer 68-jährigen, zierlichen Frau erfolgt, die aus dem Schlaf gerissen worden und den Angreifern körperlich und situationsbedingt komplett unterlegen gewesen sei. Ihre Schlussfolgerung, unter diesen Umständen habe X.________ in keiner Weise voraussagen können, ob die Dauer und Intensität seiner Handlungen zum Tod des Opfers führen würden oder nicht, ist zutreffend. Wie sie richtig ausführt, blieb es letztlich dem Zufall überlassen, ob der Tod eintritt oder nicht, zumal bereits der Umstand, dass X.________ sich auf dem Rücken des Opfers befand, eine Kompression des Brustkorbs hätte bewirken können. Entgegen seinem Vorbringen konnte der Beschwerdeführer in dieser Situation einen möglicherweise tödlichen Verlauf voraussehen. Der von ihm befürchtete Bewusstseinsverlust beinhaltete nicht bloss die Möglichkeit einer schweren Körperverletzung oder Lebensgefahr, vielmehr musste der Beschwerdeführer nach dem Vorstehenden auch mit dem Tod des Opfers rechnen. Soweit er vorbringt, er habe aufgrund der Dunkelheit die Intensität der Gewaltausübung gar nicht wahrnehmen können, entfernt er sich vom willkürfreien vorinstanzlichen Sachverhalt (vorne E. 2.4). Da er sich die Handlungen von X.________ anrechnen lassen muss (vgl. nachfolgend E. 4), kann sein Handeln vernünftigerweise nur als Inkaufnahme der nahen Möglichkeit des Todes des Opfers interpretiert werden. Die Rüge ist unbegründet. Die rechtliche Qualifikation seiner Tat als versuchter Mord beanstandet der Beschwerdeführer nicht.</w:t>
      </w:r>
    </w:p>
    <w:p>
      <w:r>
        <w:rPr>
          <w:b/>
        </w:rPr>
        <w:t>E. 4.1</w:t>
      </w:r>
    </w:p>
    <w:p>
      <w:r>
        <w:t>Der Beschwerdeführer bestreitet seine Mittäterschaft. Er und X.________ seien davon ausgegangen, in ein leeres Haus einzudringen. Es habe keine Absprachen gegeben für den Fall, dass man darin jemanden antreffen sollte. X.________ habe das schlafende Opfer zuerst bemerkt und sich sofort darauf gestürzt, während er spontan die Flucht habe ergreifen wollen. Er sei nur auf Aufforderung von X.________ vor Ort geblieben und habe sich in der Folge weitgehend passiv verhalten. Er sei deshalb höchstens wegen Gehilfenschaft zu verurteilen.</w:t>
      </w:r>
    </w:p>
    <w:p>
      <w:r>
        <w:rPr>
          <w:b/>
        </w:rPr>
        <w:t>E. 4.2</w:t>
      </w:r>
    </w:p>
    <w:p>
      <w:r>
        <w:t>Die Vorinstanz erwägt, der Beschwerdeführer habe keineswegs nur in untergeordneter Weise an der Tat mitgewirkt. Er sei an der Entschlussfassung und Planung, der Tatausführung sowie am Verkauf und Aufteilen der Beute massgeblich beteiligt gewesen. Er müsse sich die von X.________ gegen die Beschwerdegegnerin 2 verübte Gewaltanwendung anrechnen lassen, da diese dem gemeinsamen Ziel gedient habe, an die Wertsachen zu gelangen. Zudem habe er X.________ durch die Fesselung des Opfers aktiv unterstützt und die Tatbegehung psychisch in ganz entscheidender Weise mitgetragen. Es handle sich auch nicht um einen Exzess. Der Beschwerdeführer hätte gemäss der Vorinstanz aussteigen können, als sie die Beschwerdegegnerin 2 im Schlafzimmer entdeckten. Sie hätten ihren ursprünglichen Plan indes angepasst, weshalb sich der Beschwerdeführer die Handlungen von X.________ anrechnen lassen müsse.</w:t>
      </w:r>
    </w:p>
    <w:p>
      <w:r>
        <w:rPr>
          <w:b/>
        </w:rPr>
        <w:t>E. 4.3</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S. 155; 130 IV 58 E. 9.2.1 S. 66). Konkludentes Handeln genügt ( BGE 126 IV 84 E. 2c/aa S. 88; 125 IV 134 E. 3a S. 136 mit Hinweisen). Auch an spontanen, nicht geplanten Aktionen oder unkoordinierten Straftaten ist Mittäterschaft möglich (Urteil 6B_208/2015 vom 24. August 2015 E. 12.3 mit Hinweisen). Das Inkaufnehmen durch Billigen oder Einverständnis im Sinne des Eventualvorsatzes erfasst auch den unerwünschten, aber um des Handlungsziels willen hingenommenen Erfolg (Urteil 6B_939/2013 vom 17. Juni 2014 E. 2 mit Hinweis).</w:t>
      </w:r>
    </w:p>
    <w:p>
      <w:r>
        <w:rPr>
          <w:b/>
        </w:rPr>
        <w:t>E. 4.4</w:t>
      </w:r>
    </w:p>
    <w:p>
      <w:r>
        <w:t>Die Vorinstanz stellt auf die nach der bundesgerichtlichen Rechtsprechung wesentlichen Kriterien der Mittäterschaft ab. Insbesondere zeigt sie das planmässige Zusammenwirken und die Aufgabenteilung zwischen dem Beschwerdeführer und X.________ auf. Die Tat wurde gemäss ihren willkürfreien Sachverhaltsfeststellungen gemeinsam geplant, durchgeführt und die Beute nach Abzug eines Anteils für den ebenfalls beteiligten Z.________ hälftig geteilt. Letzterer hat gemäss der Vorinstanz die Beteiligung des Beschwerdeführers als zumindest gleichwertig geschildert und sah in ihm den Leader bei den Vorbereitungshandlungen. Der Beschwerdeführer habe sodann tatkräftig an der Versilberung der Beute mitgewirkt. Wenn die Vorinstanz gestützt auf die geschilderte gemeinsame Vorgehensweise und Aufgabenteilung von mittäterschaftlichem Handeln ausgeht, ist dies nicht bundesrechtswidrig. Soweit der Beschwerdeführer in seinen Ausführungen nicht ohnehin vom verbindlich festgestellten Sachverhalt abweicht, vermag er nicht aufzuzeigen, inwiefern sein Tatbeitrag lediglich untergeordneter Natur gewesen sein soll.</w:t>
      </w:r>
    </w:p>
    <w:p>
      <w:r>
        <w:rPr>
          <w:b/>
        </w:rPr>
        <w:t>E. 5</w:t>
      </w:r>
    </w:p>
    <w:p>
      <w:r>
        <w:t>Die Beschwerde ist abzuweisen, soweit darauf eingetreten werden kann. Das sinngemässe Gesuch um unentgeltliche Rechtspflege und Verbeiständung ist wegen Aussichtslosigkeit abzuweisen ( Art. 64 Abs. 1 und 2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