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6B_817/2020 vom 23. Dezember 2020</w:t>
      </w:r>
    </w:p>
    <w:p>
      <w:r>
        <w:t>Bundesgericht, 2020-12-23, FR</w:t>
      </w:r>
    </w:p>
    <w:p>
      <w:r>
        <w:rPr>
          <w:b/>
        </w:rPr>
        <w:t xml:space="preserve">Quelle: </w:t>
      </w:r>
      <w:r>
        <w:t>https://mcp.opencaselaw.ch/entscheid/bger_6B_817_2020</w:t>
      </w:r>
    </w:p>
    <w:p>
      <w:r>
        <w:t>FR: TF 6B_817/2020 du 23 décembre 2020</w:t>
      </w:r>
    </w:p>
    <w:p>
      <w:r>
        <w:t>IT: TF 6B_817/2020 del 23 dicembre 2020</w:t>
      </w:r>
    </w:p>
    <w:p>
      <w:pPr>
        <w:pStyle w:val="Heading2"/>
      </w:pPr>
      <w:r>
        <w:t>Erwägungen</w:t>
      </w:r>
    </w:p>
    <w:p>
      <w:r>
        <w:rPr>
          <w:b/>
        </w:rPr>
        <w:t>E. 1</w:t>
      </w:r>
    </w:p>
    <w:p>
      <w:r>
        <w:t>Le recourant reproche à la cour cantonale de ne pas avoir examiné d'office si les conditions d'une levée de la mesure au sens de l' art. 62c al. 1 CP étaient réalisées. Il invoque sous cet angle un déni de justice et une violation de l' art. 391 CPP .</w:t>
      </w:r>
    </w:p>
    <w:p>
      <w:r>
        <w:rPr>
          <w:b/>
        </w:rPr>
        <w:t>E. 1.1</w:t>
      </w:r>
    </w:p>
    <w:p>
      <w:r>
        <w:t>Aux termes de l' art. 62d al. 1 CP , l'autorité compétente examine, d'office ou sur demande, si l'auteur peut être libéré conditionnellement de l'exécution d'une mesure thérapeutique institutionnelle ( art. 62 CP ) ou si la mesure peut être levée ( art. 62c CP ) et, si tel est le cas, quand elle peut l'être. Elle prend une décision à ce sujet au moins une fois par an.</w:t>
      </w:r>
    </w:p>
    <w:p>
      <w:r>
        <w:rPr>
          <w:b/>
        </w:rPr>
        <w:t>E. 1.2</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143 IV 40 consid. 3.4.3 p. 46;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 arrêt 6B_179/2020 du 18 mai 2020 consid. 1.2).</w:t>
      </w:r>
    </w:p>
    <w:p>
      <w:r>
        <w:rPr>
          <w:b/>
        </w:rPr>
        <w:t>E. 1.3</w:t>
      </w:r>
    </w:p>
    <w:p>
      <w:r>
        <w:t>En l'espèce, conformément à l' art. 62d al. 1 CP , le juge de première instance a notamment examiné les conditions d'une éventuelle levée de la mesure au sens de l' art. 62c al. 1 CP et a conclu qu'elles n'étaient pas réalisées. Le recourant ne fait pas valoir qu'il aurait contesté dans son recours auprès de la cour cantonale le refus de levée de la mesure au sens de l' art. 62c al. 1 CP ni qu'il aurait pris des conclusions à cet égard ou invoqué de violation de cette disposition dans sa motivation. Il ressort en effet du recours cantonal que celui-ci était circonscrit à la question de la libération conditionnelle de la mesure au sens de l' art. 62 al. 1 CP .</w:t>
      </w:r>
    </w:p>
    <w:p>
      <w:r>
        <w:t>Dans ces conditions, la cour cantonale n'a pas commis de déni de justice en n'examinant pas si les conditions de l' art. 62c al. 1 CP étaient réalisées. Le grief du recourant est donc rejeté sous cet angle.</w:t>
      </w:r>
    </w:p>
    <w:p>
      <w:r>
        <w:rPr>
          <w:b/>
        </w:rPr>
        <w:t>E. 1.4</w:t>
      </w:r>
    </w:p>
    <w:p>
      <w:r>
        <w:t>Le recourant invoque une violation de l' art. 391 al. 1 CPP . Il soutient que la cour cantonale aurait dû "appliquer le droit d'office indépendamment des motifs invoqués dans le recours et des conclusions prises" (mémoire de recours, p. 2).</w:t>
      </w:r>
    </w:p>
    <w:p>
      <w:r>
        <w:t>Cette disposition du CPP n'est pas directement applicable à la procédure de levée, respectivement de libération conditionnelle de la mesure (cf. art. 439 al. 1 CPP ; arrêt 6B_471/2012 du 21 janvier 2013 consid. 5.5.3). Le recourant n'expose au surplus pas conformément aux exigences posées par l' art. 106 al. 2 LTF - et donc de manière recevable - dans quelle mesure l' art. 391 al. 1 CPP , en tant que droit cantonal supplétif éventuel, aurait été arbitrairement violé. Le grief de violation de cette disposition est partant irrecevable. Au demeurant, il convient de relever que le plein pouvoir d'examen en fait et en droit dont dispose l'autorité de recours et auquel se réfère le recourant ne s'applique que sur les points qui ont été attaqués dans le recours.</w:t>
      </w:r>
    </w:p>
    <w:p>
      <w:r>
        <w:rPr>
          <w:b/>
        </w:rPr>
        <w:t>E. 2</w:t>
      </w:r>
    </w:p>
    <w:p>
      <w:r>
        <w:t>Il découle de ce qui précède que les griefs du recourant relatifs à l'application de l'art. 62c al. 1 let. a et c CP, qui ont uniquement été examinés par les premiers juges, sont irrecevables, faute d'épuisement des instances cantonales ( art. 80 al. 1 LTF ).</w:t>
      </w:r>
    </w:p>
    <w:p>
      <w:r>
        <w:rPr>
          <w:b/>
        </w:rPr>
        <w:t>E. 3</w:t>
      </w:r>
    </w:p>
    <w:p>
      <w:r>
        <w:t>Pour autant que l'on puisse comprendre la fin de son mémoire de recours en ce sens, le recourant se plaint d'une violation du principe de la proportionnalité dans le cadre de la libération conditionnelle. Il soutient qu'il est disproportionné de le maintenir en détention alors qu'il n'a été condamné qu'à 15 mois de prison, n'a pas commis d'infractions graves et a déjà purgé 4 ans de prison.</w:t>
      </w:r>
    </w:p>
    <w:p>
      <w:r>
        <w:rPr>
          <w:b/>
        </w:rPr>
        <w:t>E. 3.1.1</w:t>
      </w:r>
    </w:p>
    <w:p>
      <w:r>
        <w:t>L'auteur est libéré conditionnellement de l'exécution institutionnelle de la mesure dès que son état justifie de lui donner l'occasion de faire ses preuves en liberté ( art. 62 al. 1 CP ).</w:t>
      </w:r>
    </w:p>
    <w:p>
      <w:r>
        <w:rPr>
          <w:b/>
        </w:rPr>
        <w:t>E. 3.1.2</w:t>
      </w:r>
    </w:p>
    <w:p>
      <w:r>
        <w:t>Aux termes de l' art. 56 al. 2 CP ,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 6B_993/2020 du 13 octobre 2020 consid. 1.1 et les références citées).</w:t>
      </w:r>
    </w:p>
    <w:p>
      <w:r>
        <w:rPr>
          <w:b/>
        </w:rPr>
        <w:t>E. 3.2</w:t>
      </w:r>
    </w:p>
    <w:p>
      <w:r>
        <w:t>La cour cantonale a exposé que les experts avaient qualifié d'élevé le risque que le recourant commette à nouveau des infractions du même genre, étant donné la multiplicité des délits, le peu d'évolution constaté ces dernières années et le manque de facteurs protecteurs. En outre, la survenance d'infractions plus graves ne pouvait être exclue. Par ailleurs, sous l'angle du principe de la proportionnalité, la cour cantonale a relevé que les infractions redoutées étaient graves dès lors qu'elles portaient atteinte à un bien juridique essentiel, à savoir l'intégrité corporelle. Il ressortait en outre clairement de l'expertise qu'un traitement ambulatoire était insuffisant pour diminuer le risque de récidive. La cour cantonale a conclu que l'intérêt public à la sécurité l'emportait nettement sur l'intérêt privé du recourant à recouvrer la liberté.</w:t>
      </w:r>
    </w:p>
    <w:p>
      <w:r>
        <w:rPr>
          <w:b/>
        </w:rPr>
        <w:t>E. 3.3</w:t>
      </w:r>
    </w:p>
    <w:p>
      <w:r>
        <w:t>C'est d'abord en vain que le recourant soutient qu'il n'a pas commis d'infractions graves, dans la mesure où parmi les nombreuses infractions qu'il a commises, plusieurs l'ont été contre l'intégrité corporelle.</w:t>
      </w:r>
    </w:p>
    <w:p>
      <w:r>
        <w:t>Le recourant prétend ensuite qu'il a démontré être capable de vivre en liberté sans commettre d'infractions parce qu'il n'en a pas commis pendant sa fugue. Cette argumentation ne saurait être suivie. D'une part, cet élément ne ressort pas de l'ordonnance attaquée, sans que le recourant ne démontre l'arbitraire de son omission. D'autre part, le seul fait qu'il n'ait pas commis d'infractions pendant quelques mois alors qu'il avait fugué de l'établissement dans lequel il avait été placé n'apparaît pas de nature à diminuer le risque élevé de récidive retenu par les experts, fondé en particulier sur le nombre d'infractions commises par le passé.</w:t>
      </w:r>
    </w:p>
    <w:p>
      <w:r>
        <w:t>C'est également en vain que le recourant invoque - comme il l'a fait devant la cour cantonale - que sa famille serait disposée à le prendre en charge et à le soutenir, dans la mesure où il résulte des faits de l'ordonnance attaquée qui lient le Tribunal fédéral ( art. 105 al. 1 LTF ), que la famille du recourant ne semble pas en mesure de lui offrir des repères solides ni de lui rappeler la loi, comme cela ressort du rapport d'expertise qui fait état de "dynamique familiale problématique".</w:t>
      </w:r>
    </w:p>
    <w:p>
      <w:r>
        <w:t>Enfin, s'agissant de la durée de la mesure, s'il est vrai que le recourant a purgé les 15 mois de peine privative de liberté auxquels il a été condamné, il convient de relever que, comme l'a retenu la cour cantonale, le peu de progrès que le recourant a réalisé depuis le début de son traitement est notamment dû à sa fugue de l'établissement, qui l'a empêché de bénéficier d'un encadrement adapté à sa situation pendant une durée d'un an et dix mois.</w:t>
      </w:r>
    </w:p>
    <w:p>
      <w:r>
        <w:rPr>
          <w:b/>
        </w:rPr>
        <w:t>E. 3.4</w:t>
      </w:r>
    </w:p>
    <w:p>
      <w:r>
        <w:t>Compte tenu notamment de l'état psychique du recourant et de l'adéquation de la mesure institutionnelle pour réduire le risque de récidive, l'atteinte aux droits de la personnalité du recourant n'apparaît pas disproportionnée. Le grief est rejeté dans la mesure où il est recevable.</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